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rFonts w:ascii="Arial" w:cs="Arial" w:eastAsia="Arial" w:hAnsi="Arial"/>
          <w:b/>
          <w:bCs/>
          <w:color w:val="C00000"/>
          <w:sz w:val="16"/>
          <w:szCs w:val="16"/>
        </w:rPr>
        <w:t xml:space="preserve">DRAFT FOR CONSULTATION — AN INDEPENDENT OPEN STANDARD</w:t>
      </w:r>
    </w:p>
    <w:p>
      <w:pPr>
        <w:spacing w:after="80"/>
      </w:pPr>
      <w:r>
        <w:rPr>
          <w:rFonts w:ascii="Arial" w:cs="Arial" w:eastAsia="Arial" w:hAnsi="Arial"/>
          <w:b/>
          <w:bCs/>
          <w:color w:val="1F3864"/>
          <w:sz w:val="44"/>
          <w:szCs w:val="44"/>
        </w:rPr>
        <w:t xml:space="preserve">Common Transaction Reporting and Evidence Standard</w:t>
      </w:r>
    </w:p>
    <w:p>
      <w:pPr>
        <w:spacing w:after="320"/>
      </w:pPr>
      <w:r>
        <w:rPr>
          <w:rFonts w:ascii="Arial" w:cs="Arial" w:eastAsia="Arial" w:hAnsi="Arial"/>
          <w:color w:val="404040"/>
          <w:sz w:val="24"/>
          <w:szCs w:val="24"/>
        </w:rPr>
        <w:t xml:space="preserve">An open, rail-neutral format for evidencing payment flows in regulated gambling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100"/>
        <w:gridCol w:w="7646"/>
      </w:tblGrid>
      <w:tr>
        <w:trPr>
          <w:tblHeader/>
        </w:trPr>
        <w:tc>
          <w:tcPr>
            <w:tcW w:type="dxa" w:w="21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Item</w:t>
            </w:r>
          </w:p>
        </w:tc>
        <w:tc>
          <w:tcPr>
            <w:tcW w:type="dxa" w:w="76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Detail</w:t>
            </w:r>
          </w:p>
        </w:tc>
      </w:tr>
      <w:tr>
        <w:trPr>
          <w:cantSplit w:val="false"/>
        </w:trPr>
        <w:tc>
          <w:tcPr>
            <w:tcW w:type="dxa" w:w="2100"/>
            <w:tcMar>
              <w:top w:type="dxa" w:w="50"/>
              <w:left w:type="dxa" w:w="80"/>
              <w:bottom w:type="dxa" w:w="50"/>
              <w:right w:type="dxa" w:w="80"/>
            </w:tcMar>
          </w:tcPr>
          <w:p>
            <w:pPr>
              <w:spacing w:after="0" w:line="230"/>
            </w:pPr>
            <w:r>
              <w:rPr>
                <w:rFonts w:ascii="Arial" w:cs="Arial" w:eastAsia="Arial" w:hAnsi="Arial"/>
                <w:sz w:val="18"/>
                <w:szCs w:val="18"/>
              </w:rPr>
              <w:t xml:space="preserve">Short name</w:t>
            </w:r>
          </w:p>
        </w:tc>
        <w:tc>
          <w:tcPr>
            <w:tcW w:type="dxa" w:w="7646"/>
            <w:tcMar>
              <w:top w:type="dxa" w:w="50"/>
              <w:left w:type="dxa" w:w="80"/>
              <w:bottom w:type="dxa" w:w="50"/>
              <w:right w:type="dxa" w:w="80"/>
            </w:tcMar>
          </w:tcPr>
          <w:p>
            <w:pPr>
              <w:spacing w:after="0" w:line="230"/>
            </w:pPr>
            <w:r>
              <w:rPr>
                <w:rFonts w:ascii="Arial" w:cs="Arial" w:eastAsia="Arial" w:hAnsi="Arial"/>
                <w:sz w:val="18"/>
                <w:szCs w:val="18"/>
              </w:rPr>
              <w:t xml:space="preserve">CTRES v1.0 — universal edition</w:t>
            </w:r>
          </w:p>
        </w:tc>
      </w:tr>
      <w:tr>
        <w:trPr>
          <w:cantSplit w:val="false"/>
        </w:trPr>
        <w:tc>
          <w:tcPr>
            <w:tcW w:type="dxa" w:w="21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Status</w:t>
            </w:r>
          </w:p>
        </w:tc>
        <w:tc>
          <w:tcPr>
            <w:tcW w:type="dxa" w:w="76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Open draft for consultation with authorities and industry. An independent standard: it carries no regulatory force and creates no new obligations.</w:t>
            </w:r>
          </w:p>
        </w:tc>
      </w:tr>
      <w:tr>
        <w:trPr>
          <w:cantSplit w:val="false"/>
        </w:trPr>
        <w:tc>
          <w:tcPr>
            <w:tcW w:type="dxa" w:w="2100"/>
            <w:tcMar>
              <w:top w:type="dxa" w:w="50"/>
              <w:left w:type="dxa" w:w="80"/>
              <w:bottom w:type="dxa" w:w="50"/>
              <w:right w:type="dxa" w:w="80"/>
            </w:tcMar>
          </w:tcPr>
          <w:p>
            <w:pPr>
              <w:spacing w:after="0" w:line="230"/>
            </w:pPr>
            <w:r>
              <w:rPr>
                <w:rFonts w:ascii="Arial" w:cs="Arial" w:eastAsia="Arial" w:hAnsi="Arial"/>
                <w:sz w:val="18"/>
                <w:szCs w:val="18"/>
              </w:rPr>
              <w:t xml:space="preserve">Date</w:t>
            </w:r>
          </w:p>
        </w:tc>
        <w:tc>
          <w:tcPr>
            <w:tcW w:type="dxa" w:w="7646"/>
            <w:tcMar>
              <w:top w:type="dxa" w:w="50"/>
              <w:left w:type="dxa" w:w="80"/>
              <w:bottom w:type="dxa" w:w="50"/>
              <w:right w:type="dxa" w:w="80"/>
            </w:tcMar>
          </w:tcPr>
          <w:p>
            <w:pPr>
              <w:spacing w:after="0" w:line="230"/>
            </w:pPr>
            <w:r>
              <w:rPr>
                <w:rFonts w:ascii="Arial" w:cs="Arial" w:eastAsia="Arial" w:hAnsi="Arial"/>
                <w:sz w:val="18"/>
                <w:szCs w:val="18"/>
              </w:rPr>
              <w:t xml:space="preserve">2 October 2026 (revised for publication 5 October 2026)</w:t>
            </w:r>
          </w:p>
        </w:tc>
      </w:tr>
      <w:tr>
        <w:trPr>
          <w:cantSplit w:val="false"/>
        </w:trPr>
        <w:tc>
          <w:tcPr>
            <w:tcW w:type="dxa" w:w="21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Editor</w:t>
            </w:r>
          </w:p>
        </w:tc>
        <w:tc>
          <w:tcPr>
            <w:tcW w:type="dxa" w:w="76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Dmitry Skachko</w:t>
            </w:r>
          </w:p>
        </w:tc>
      </w:tr>
      <w:tr>
        <w:trPr>
          <w:cantSplit w:val="false"/>
        </w:trPr>
        <w:tc>
          <w:tcPr>
            <w:tcW w:type="dxa" w:w="2100"/>
            <w:tcMar>
              <w:top w:type="dxa" w:w="50"/>
              <w:left w:type="dxa" w:w="80"/>
              <w:bottom w:type="dxa" w:w="50"/>
              <w:right w:type="dxa" w:w="80"/>
            </w:tcMar>
          </w:tcPr>
          <w:p>
            <w:pPr>
              <w:spacing w:after="0" w:line="230"/>
            </w:pPr>
            <w:r>
              <w:rPr>
                <w:rFonts w:ascii="Arial" w:cs="Arial" w:eastAsia="Arial" w:hAnsi="Arial"/>
                <w:sz w:val="18"/>
                <w:szCs w:val="18"/>
              </w:rPr>
              <w:t xml:space="preserve">Contact</w:t>
            </w:r>
          </w:p>
        </w:tc>
        <w:tc>
          <w:tcPr>
            <w:tcW w:type="dxa" w:w="7646"/>
            <w:tcMar>
              <w:top w:type="dxa" w:w="50"/>
              <w:left w:type="dxa" w:w="80"/>
              <w:bottom w:type="dxa" w:w="50"/>
              <w:right w:type="dxa" w:w="80"/>
            </w:tcMar>
          </w:tcPr>
          <w:p>
            <w:pPr>
              <w:spacing w:after="0" w:line="230"/>
            </w:pPr>
            <w:r>
              <w:rPr>
                <w:rFonts w:ascii="Arial" w:cs="Arial" w:eastAsia="Arial" w:hAnsi="Arial"/>
                <w:sz w:val="18"/>
                <w:szCs w:val="18"/>
              </w:rPr>
              <w:t xml:space="preserve">hello@ctres.org</w:t>
            </w:r>
          </w:p>
        </w:tc>
      </w:tr>
      <w:tr>
        <w:trPr>
          <w:cantSplit w:val="false"/>
        </w:trPr>
        <w:tc>
          <w:tcPr>
            <w:tcW w:type="dxa" w:w="21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Website</w:t>
            </w:r>
          </w:p>
        </w:tc>
        <w:tc>
          <w:tcPr>
            <w:tcW w:type="dxa" w:w="76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https://ctres.org</w:t>
            </w:r>
          </w:p>
        </w:tc>
      </w:tr>
      <w:tr>
        <w:trPr>
          <w:cantSplit w:val="false"/>
        </w:trPr>
        <w:tc>
          <w:tcPr>
            <w:tcW w:type="dxa" w:w="2100"/>
            <w:tcMar>
              <w:top w:type="dxa" w:w="50"/>
              <w:left w:type="dxa" w:w="80"/>
              <w:bottom w:type="dxa" w:w="50"/>
              <w:right w:type="dxa" w:w="80"/>
            </w:tcMar>
          </w:tcPr>
          <w:p>
            <w:pPr>
              <w:spacing w:after="0" w:line="230"/>
            </w:pPr>
            <w:r>
              <w:rPr>
                <w:rFonts w:ascii="Arial" w:cs="Arial" w:eastAsia="Arial" w:hAnsi="Arial"/>
                <w:sz w:val="18"/>
                <w:szCs w:val="18"/>
              </w:rPr>
              <w:t xml:space="preserve">Coverage</w:t>
            </w:r>
          </w:p>
        </w:tc>
        <w:tc>
          <w:tcPr>
            <w:tcW w:type="dxa" w:w="7646"/>
            <w:tcMar>
              <w:top w:type="dxa" w:w="50"/>
              <w:left w:type="dxa" w:w="80"/>
              <w:bottom w:type="dxa" w:w="50"/>
              <w:right w:type="dxa" w:w="80"/>
            </w:tcMar>
          </w:tcPr>
          <w:p>
            <w:pPr>
              <w:spacing w:after="0" w:line="230"/>
            </w:pPr>
            <w:r>
              <w:rPr>
                <w:rFonts w:ascii="Arial" w:cs="Arial" w:eastAsia="Arial" w:hAnsi="Arial"/>
                <w:sz w:val="18"/>
                <w:szCs w:val="18"/>
              </w:rPr>
              <w:t xml:space="preserve">Every payment rail — cards, bank and instant payments, e-money, mobile money, vouchers, cash at retail, virtual assets — under any jurisdiction’s rules, through jurisdiction profiles</w:t>
            </w:r>
          </w:p>
        </w:tc>
      </w:tr>
      <w:tr>
        <w:trPr>
          <w:cantSplit w:val="false"/>
        </w:trPr>
        <w:tc>
          <w:tcPr>
            <w:tcW w:type="dxa" w:w="21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Editions</w:t>
            </w:r>
          </w:p>
        </w:tc>
        <w:tc>
          <w:tcPr>
            <w:tcW w:type="dxa" w:w="76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This universal edition. A Curaçao edition (September 2026) applies the virtual-asset module to the CGA crypto policy guideline.</w:t>
            </w:r>
          </w:p>
        </w:tc>
      </w:tr>
      <w:tr>
        <w:trPr>
          <w:cantSplit w:val="false"/>
        </w:trPr>
        <w:tc>
          <w:tcPr>
            <w:tcW w:type="dxa" w:w="2100"/>
            <w:tcMar>
              <w:top w:type="dxa" w:w="50"/>
              <w:left w:type="dxa" w:w="80"/>
              <w:bottom w:type="dxa" w:w="50"/>
              <w:right w:type="dxa" w:w="80"/>
            </w:tcMar>
          </w:tcPr>
          <w:p>
            <w:pPr>
              <w:spacing w:after="0" w:line="230"/>
            </w:pPr>
            <w:r>
              <w:rPr>
                <w:rFonts w:ascii="Arial" w:cs="Arial" w:eastAsia="Arial" w:hAnsi="Arial"/>
                <w:sz w:val="18"/>
                <w:szCs w:val="18"/>
              </w:rPr>
              <w:t xml:space="preserve">Licence to use</w:t>
            </w:r>
          </w:p>
        </w:tc>
        <w:tc>
          <w:tcPr>
            <w:tcW w:type="dxa" w:w="7646"/>
            <w:tcMar>
              <w:top w:type="dxa" w:w="50"/>
              <w:left w:type="dxa" w:w="80"/>
              <w:bottom w:type="dxa" w:w="50"/>
              <w:right w:type="dxa" w:w="80"/>
            </w:tcMar>
          </w:tcPr>
          <w:p>
            <w:pPr>
              <w:spacing w:after="0" w:line="230"/>
            </w:pPr>
            <w:r>
              <w:rPr>
                <w:rFonts w:ascii="Arial" w:cs="Arial" w:eastAsia="Arial" w:hAnsi="Arial"/>
                <w:sz w:val="18"/>
                <w:szCs w:val="18"/>
              </w:rPr>
              <w:t xml:space="preserve">The text is licensed under Creative Commons Attribution 4.0 International (CC BY 4.0). Any operator, supplier or authority may implement the Standard without fee or permission. The schema and a reference validator for structural and referential checks are published under the Apache License 2.0 at github.com/ctres-standard. Governance is set out in §13.</w:t>
            </w:r>
          </w:p>
        </w:tc>
      </w:tr>
      <w:tr>
        <w:trPr>
          <w:cantSplit w:val="false"/>
        </w:trPr>
        <w:tc>
          <w:tcPr>
            <w:tcW w:type="dxa" w:w="21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Comments</w:t>
            </w:r>
          </w:p>
        </w:tc>
        <w:tc>
          <w:tcPr>
            <w:tcW w:type="dxa" w:w="76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Through the public issue tracker at github.com/ctres-standard/spec, or to hello@ctres.org. Every authority is invited to correct its own profile in Annex B; corrections an authority makes to its own profile are adopted as submitted.</w:t>
            </w:r>
          </w:p>
        </w:tc>
      </w:tr>
    </w:tbl>
    <w:p>
      <w:r>
        <w:br w:type="page"/>
      </w:r>
    </w:p>
    <w:p>
      <w:pPr>
        <w:pStyle w:val="Heading1"/>
        <w:spacing w:after="140" w:before="320"/>
      </w:pPr>
      <w:r>
        <w:rPr>
          <w:rFonts w:ascii="Arial" w:cs="Arial" w:eastAsia="Arial" w:hAnsi="Arial"/>
          <w:b/>
          <w:bCs/>
          <w:color w:val="1F3864"/>
          <w:sz w:val="28"/>
          <w:szCs w:val="28"/>
        </w:rPr>
        <w:t xml:space="preserve">Contents</w:t>
      </w:r>
    </w:p>
    <w:p>
      <w:pPr>
        <w:spacing w:after="60"/>
        <w:ind w:left="200"/>
      </w:pPr>
      <w:r>
        <w:rPr>
          <w:rFonts w:ascii="Arial" w:cs="Arial" w:eastAsia="Arial" w:hAnsi="Arial"/>
          <w:b/>
          <w:bCs/>
          <w:color w:val="2E5496"/>
          <w:sz w:val="20"/>
          <w:szCs w:val="20"/>
        </w:rPr>
        <w:t xml:space="preserve">1.  </w:t>
      </w:r>
      <w:r>
        <w:rPr>
          <w:rFonts w:ascii="Arial" w:cs="Arial" w:eastAsia="Arial" w:hAnsi="Arial"/>
          <w:sz w:val="20"/>
          <w:szCs w:val="20"/>
        </w:rPr>
        <w:t xml:space="preserve">Purpose and status</w:t>
      </w:r>
    </w:p>
    <w:p>
      <w:pPr>
        <w:spacing w:after="60"/>
        <w:ind w:left="200"/>
      </w:pPr>
      <w:r>
        <w:rPr>
          <w:rFonts w:ascii="Arial" w:cs="Arial" w:eastAsia="Arial" w:hAnsi="Arial"/>
          <w:b/>
          <w:bCs/>
          <w:color w:val="2E5496"/>
          <w:sz w:val="20"/>
          <w:szCs w:val="20"/>
        </w:rPr>
        <w:t xml:space="preserve">2.  </w:t>
      </w:r>
      <w:r>
        <w:rPr>
          <w:rFonts w:ascii="Arial" w:cs="Arial" w:eastAsia="Arial" w:hAnsi="Arial"/>
          <w:sz w:val="20"/>
          <w:szCs w:val="20"/>
        </w:rPr>
        <w:t xml:space="preserve">Scope</w:t>
      </w:r>
    </w:p>
    <w:p>
      <w:pPr>
        <w:spacing w:after="60"/>
        <w:ind w:left="200"/>
      </w:pPr>
      <w:r>
        <w:rPr>
          <w:rFonts w:ascii="Arial" w:cs="Arial" w:eastAsia="Arial" w:hAnsi="Arial"/>
          <w:b/>
          <w:bCs/>
          <w:color w:val="2E5496"/>
          <w:sz w:val="20"/>
          <w:szCs w:val="20"/>
        </w:rPr>
        <w:t xml:space="preserve">3.  </w:t>
      </w:r>
      <w:r>
        <w:rPr>
          <w:rFonts w:ascii="Arial" w:cs="Arial" w:eastAsia="Arial" w:hAnsi="Arial"/>
          <w:sz w:val="20"/>
          <w:szCs w:val="20"/>
        </w:rPr>
        <w:t xml:space="preserve">Design principles</w:t>
      </w:r>
    </w:p>
    <w:p>
      <w:pPr>
        <w:spacing w:after="60"/>
        <w:ind w:left="200"/>
      </w:pPr>
      <w:r>
        <w:rPr>
          <w:rFonts w:ascii="Arial" w:cs="Arial" w:eastAsia="Arial" w:hAnsi="Arial"/>
          <w:b/>
          <w:bCs/>
          <w:color w:val="2E5496"/>
          <w:sz w:val="20"/>
          <w:szCs w:val="20"/>
        </w:rPr>
        <w:t xml:space="preserve">4.  </w:t>
      </w:r>
      <w:r>
        <w:rPr>
          <w:rFonts w:ascii="Arial" w:cs="Arial" w:eastAsia="Arial" w:hAnsi="Arial"/>
          <w:sz w:val="20"/>
          <w:szCs w:val="20"/>
        </w:rPr>
        <w:t xml:space="preserve">Record model (R1–R12)</w:t>
      </w:r>
    </w:p>
    <w:p>
      <w:pPr>
        <w:spacing w:after="60"/>
        <w:ind w:left="200"/>
      </w:pPr>
      <w:r>
        <w:rPr>
          <w:rFonts w:ascii="Arial" w:cs="Arial" w:eastAsia="Arial" w:hAnsi="Arial"/>
          <w:b/>
          <w:bCs/>
          <w:color w:val="2E5496"/>
          <w:sz w:val="20"/>
          <w:szCs w:val="20"/>
        </w:rPr>
        <w:t xml:space="preserve">5.  </w:t>
      </w:r>
      <w:r>
        <w:rPr>
          <w:rFonts w:ascii="Arial" w:cs="Arial" w:eastAsia="Arial" w:hAnsi="Arial"/>
          <w:sz w:val="20"/>
          <w:szCs w:val="20"/>
        </w:rPr>
        <w:t xml:space="preserve">Jurisdiction profiles</w:t>
      </w:r>
    </w:p>
    <w:p>
      <w:pPr>
        <w:spacing w:after="60"/>
        <w:ind w:left="200"/>
      </w:pPr>
      <w:r>
        <w:rPr>
          <w:rFonts w:ascii="Arial" w:cs="Arial" w:eastAsia="Arial" w:hAnsi="Arial"/>
          <w:b/>
          <w:bCs/>
          <w:color w:val="2E5496"/>
          <w:sz w:val="20"/>
          <w:szCs w:val="20"/>
        </w:rPr>
        <w:t xml:space="preserve">6.  </w:t>
      </w:r>
      <w:r>
        <w:rPr>
          <w:rFonts w:ascii="Arial" w:cs="Arial" w:eastAsia="Arial" w:hAnsi="Arial"/>
          <w:sz w:val="20"/>
          <w:szCs w:val="20"/>
        </w:rPr>
        <w:t xml:space="preserve">Rail modules</w:t>
      </w:r>
    </w:p>
    <w:p>
      <w:pPr>
        <w:spacing w:after="60"/>
        <w:ind w:left="200"/>
      </w:pPr>
      <w:r>
        <w:rPr>
          <w:rFonts w:ascii="Arial" w:cs="Arial" w:eastAsia="Arial" w:hAnsi="Arial"/>
          <w:b/>
          <w:bCs/>
          <w:color w:val="2E5496"/>
          <w:sz w:val="20"/>
          <w:szCs w:val="20"/>
        </w:rPr>
        <w:t xml:space="preserve">7.  </w:t>
      </w:r>
      <w:r>
        <w:rPr>
          <w:rFonts w:ascii="Arial" w:cs="Arial" w:eastAsia="Arial" w:hAnsi="Arial"/>
          <w:sz w:val="20"/>
          <w:szCs w:val="20"/>
        </w:rPr>
        <w:t xml:space="preserve">Mapping to existing regulatory formats</w:t>
      </w:r>
    </w:p>
    <w:p>
      <w:pPr>
        <w:spacing w:after="60"/>
        <w:ind w:left="200"/>
      </w:pPr>
      <w:r>
        <w:rPr>
          <w:rFonts w:ascii="Arial" w:cs="Arial" w:eastAsia="Arial" w:hAnsi="Arial"/>
          <w:b/>
          <w:bCs/>
          <w:color w:val="2E5496"/>
          <w:sz w:val="20"/>
          <w:szCs w:val="20"/>
        </w:rPr>
        <w:t xml:space="preserve">8.  </w:t>
      </w:r>
      <w:r>
        <w:rPr>
          <w:rFonts w:ascii="Arial" w:cs="Arial" w:eastAsia="Arial" w:hAnsi="Arial"/>
          <w:sz w:val="20"/>
          <w:szCs w:val="20"/>
        </w:rPr>
        <w:t xml:space="preserve">Submission and access</w:t>
      </w:r>
    </w:p>
    <w:p>
      <w:pPr>
        <w:spacing w:after="60"/>
        <w:ind w:left="200"/>
      </w:pPr>
      <w:r>
        <w:rPr>
          <w:rFonts w:ascii="Arial" w:cs="Arial" w:eastAsia="Arial" w:hAnsi="Arial"/>
          <w:b/>
          <w:bCs/>
          <w:color w:val="2E5496"/>
          <w:sz w:val="20"/>
          <w:szCs w:val="20"/>
        </w:rPr>
        <w:t xml:space="preserve">9.  </w:t>
      </w:r>
      <w:r>
        <w:rPr>
          <w:rFonts w:ascii="Arial" w:cs="Arial" w:eastAsia="Arial" w:hAnsi="Arial"/>
          <w:sz w:val="20"/>
          <w:szCs w:val="20"/>
        </w:rPr>
        <w:t xml:space="preserve">Evidence pack</w:t>
      </w:r>
    </w:p>
    <w:p>
      <w:pPr>
        <w:spacing w:after="60"/>
        <w:ind w:left="200"/>
      </w:pPr>
      <w:r>
        <w:rPr>
          <w:rFonts w:ascii="Arial" w:cs="Arial" w:eastAsia="Arial" w:hAnsi="Arial"/>
          <w:b/>
          <w:bCs/>
          <w:color w:val="2E5496"/>
          <w:sz w:val="20"/>
          <w:szCs w:val="20"/>
        </w:rPr>
        <w:t xml:space="preserve">10.  </w:t>
      </w:r>
      <w:r>
        <w:rPr>
          <w:rFonts w:ascii="Arial" w:cs="Arial" w:eastAsia="Arial" w:hAnsi="Arial"/>
          <w:sz w:val="20"/>
          <w:szCs w:val="20"/>
        </w:rPr>
        <w:t xml:space="preserve">Conformance levels</w:t>
      </w:r>
    </w:p>
    <w:p>
      <w:pPr>
        <w:spacing w:after="60"/>
        <w:ind w:left="200"/>
      </w:pPr>
      <w:r>
        <w:rPr>
          <w:rFonts w:ascii="Arial" w:cs="Arial" w:eastAsia="Arial" w:hAnsi="Arial"/>
          <w:b/>
          <w:bCs/>
          <w:color w:val="2E5496"/>
          <w:sz w:val="20"/>
          <w:szCs w:val="20"/>
        </w:rPr>
        <w:t xml:space="preserve">11.  </w:t>
      </w:r>
      <w:r>
        <w:rPr>
          <w:rFonts w:ascii="Arial" w:cs="Arial" w:eastAsia="Arial" w:hAnsi="Arial"/>
          <w:sz w:val="20"/>
          <w:szCs w:val="20"/>
        </w:rPr>
        <w:t xml:space="preserve">Validation</w:t>
      </w:r>
    </w:p>
    <w:p>
      <w:pPr>
        <w:spacing w:after="60"/>
        <w:ind w:left="200"/>
      </w:pPr>
      <w:r>
        <w:rPr>
          <w:rFonts w:ascii="Arial" w:cs="Arial" w:eastAsia="Arial" w:hAnsi="Arial"/>
          <w:b/>
          <w:bCs/>
          <w:color w:val="2E5496"/>
          <w:sz w:val="20"/>
          <w:szCs w:val="20"/>
        </w:rPr>
        <w:t xml:space="preserve">12.  </w:t>
      </w:r>
      <w:r>
        <w:rPr>
          <w:rFonts w:ascii="Arial" w:cs="Arial" w:eastAsia="Arial" w:hAnsi="Arial"/>
          <w:sz w:val="20"/>
          <w:szCs w:val="20"/>
        </w:rPr>
        <w:t xml:space="preserve">Data protection, confidentiality and retention</w:t>
      </w:r>
    </w:p>
    <w:p>
      <w:pPr>
        <w:spacing w:after="60"/>
        <w:ind w:left="200"/>
      </w:pPr>
      <w:r>
        <w:rPr>
          <w:rFonts w:ascii="Arial" w:cs="Arial" w:eastAsia="Arial" w:hAnsi="Arial"/>
          <w:b/>
          <w:bCs/>
          <w:color w:val="2E5496"/>
          <w:sz w:val="20"/>
          <w:szCs w:val="20"/>
        </w:rPr>
        <w:t xml:space="preserve">13.  </w:t>
      </w:r>
      <w:r>
        <w:rPr>
          <w:rFonts w:ascii="Arial" w:cs="Arial" w:eastAsia="Arial" w:hAnsi="Arial"/>
          <w:sz w:val="20"/>
          <w:szCs w:val="20"/>
        </w:rPr>
        <w:t xml:space="preserve">Governance and versioning</w:t>
      </w:r>
    </w:p>
    <w:p>
      <w:pPr>
        <w:spacing w:after="60"/>
        <w:ind w:left="200"/>
      </w:pPr>
      <w:r>
        <w:rPr>
          <w:rFonts w:ascii="Arial" w:cs="Arial" w:eastAsia="Arial" w:hAnsi="Arial"/>
          <w:b/>
          <w:bCs/>
          <w:color w:val="2E5496"/>
          <w:sz w:val="20"/>
          <w:szCs w:val="20"/>
        </w:rPr>
        <w:t xml:space="preserve">14.  </w:t>
      </w:r>
      <w:r>
        <w:rPr>
          <w:rFonts w:ascii="Arial" w:cs="Arial" w:eastAsia="Arial" w:hAnsi="Arial"/>
          <w:sz w:val="20"/>
          <w:szCs w:val="20"/>
        </w:rPr>
        <w:t xml:space="preserve">Roadmap</w:t>
      </w:r>
    </w:p>
    <w:p>
      <w:pPr>
        <w:spacing w:after="60"/>
        <w:ind w:left="200"/>
      </w:pPr>
      <w:r>
        <w:rPr>
          <w:rFonts w:ascii="Arial" w:cs="Arial" w:eastAsia="Arial" w:hAnsi="Arial"/>
          <w:b/>
          <w:bCs/>
          <w:color w:val="2E5496"/>
          <w:sz w:val="20"/>
          <w:szCs w:val="20"/>
        </w:rPr>
        <w:t xml:space="preserve">15.  </w:t>
      </w:r>
      <w:r>
        <w:rPr>
          <w:rFonts w:ascii="Arial" w:cs="Arial" w:eastAsia="Arial" w:hAnsi="Arial"/>
          <w:sz w:val="20"/>
          <w:szCs w:val="20"/>
        </w:rPr>
        <w:t xml:space="preserve">Questions for authorities</w:t>
      </w:r>
    </w:p>
    <w:p>
      <w:pPr>
        <w:spacing w:after="60"/>
        <w:ind w:left="200"/>
      </w:pPr>
      <w:r>
        <w:rPr>
          <w:rFonts w:ascii="Arial" w:cs="Arial" w:eastAsia="Arial" w:hAnsi="Arial"/>
          <w:b/>
          <w:bCs/>
          <w:color w:val="2E5496"/>
          <w:sz w:val="20"/>
          <w:szCs w:val="20"/>
        </w:rPr>
        <w:t xml:space="preserve">A.  </w:t>
      </w:r>
      <w:r>
        <w:rPr>
          <w:rFonts w:ascii="Arial" w:cs="Arial" w:eastAsia="Arial" w:hAnsi="Arial"/>
          <w:sz w:val="20"/>
          <w:szCs w:val="20"/>
        </w:rPr>
        <w:t xml:space="preserve">Field catalogue</w:t>
      </w:r>
    </w:p>
    <w:p>
      <w:pPr>
        <w:spacing w:after="60"/>
        <w:ind w:left="200"/>
      </w:pPr>
      <w:r>
        <w:rPr>
          <w:rFonts w:ascii="Arial" w:cs="Arial" w:eastAsia="Arial" w:hAnsi="Arial"/>
          <w:b/>
          <w:bCs/>
          <w:color w:val="2E5496"/>
          <w:sz w:val="20"/>
          <w:szCs w:val="20"/>
        </w:rPr>
        <w:t xml:space="preserve">B.  </w:t>
      </w:r>
      <w:r>
        <w:rPr>
          <w:rFonts w:ascii="Arial" w:cs="Arial" w:eastAsia="Arial" w:hAnsi="Arial"/>
          <w:sz w:val="20"/>
          <w:szCs w:val="20"/>
        </w:rPr>
        <w:t xml:space="preserve">Jurisdiction profiles</w:t>
      </w:r>
    </w:p>
    <w:p>
      <w:pPr>
        <w:spacing w:after="60"/>
        <w:ind w:left="200"/>
      </w:pPr>
      <w:r>
        <w:rPr>
          <w:rFonts w:ascii="Arial" w:cs="Arial" w:eastAsia="Arial" w:hAnsi="Arial"/>
          <w:b/>
          <w:bCs/>
          <w:color w:val="2E5496"/>
          <w:sz w:val="20"/>
          <w:szCs w:val="20"/>
        </w:rPr>
        <w:t xml:space="preserve">C.  </w:t>
      </w:r>
      <w:r>
        <w:rPr>
          <w:rFonts w:ascii="Arial" w:cs="Arial" w:eastAsia="Arial" w:hAnsi="Arial"/>
          <w:sz w:val="20"/>
          <w:szCs w:val="20"/>
        </w:rPr>
        <w:t xml:space="preserve">Example records</w:t>
      </w:r>
    </w:p>
    <w:p>
      <w:pPr>
        <w:spacing w:after="60"/>
        <w:ind w:left="200"/>
      </w:pPr>
      <w:r>
        <w:rPr>
          <w:rFonts w:ascii="Arial" w:cs="Arial" w:eastAsia="Arial" w:hAnsi="Arial"/>
          <w:b/>
          <w:bCs/>
          <w:color w:val="2E5496"/>
          <w:sz w:val="20"/>
          <w:szCs w:val="20"/>
        </w:rPr>
        <w:t xml:space="preserve">D.  </w:t>
      </w:r>
      <w:r>
        <w:rPr>
          <w:rFonts w:ascii="Arial" w:cs="Arial" w:eastAsia="Arial" w:hAnsi="Arial"/>
          <w:sz w:val="20"/>
          <w:szCs w:val="20"/>
        </w:rPr>
        <w:t xml:space="preserve">Conformance declaration (template)</w:t>
      </w:r>
    </w:p>
    <w:p>
      <w:pPr>
        <w:spacing w:after="60"/>
        <w:ind w:left="200"/>
      </w:pPr>
      <w:r>
        <w:rPr>
          <w:rFonts w:ascii="Arial" w:cs="Arial" w:eastAsia="Arial" w:hAnsi="Arial"/>
          <w:b/>
          <w:bCs/>
          <w:color w:val="2E5496"/>
          <w:sz w:val="20"/>
          <w:szCs w:val="20"/>
        </w:rPr>
        <w:t xml:space="preserve">E.  </w:t>
      </w:r>
      <w:r>
        <w:rPr>
          <w:rFonts w:ascii="Arial" w:cs="Arial" w:eastAsia="Arial" w:hAnsi="Arial"/>
          <w:sz w:val="20"/>
          <w:szCs w:val="20"/>
        </w:rPr>
        <w:t xml:space="preserve">Glossary</w:t>
      </w:r>
    </w:p>
    <w:p>
      <w:pPr>
        <w:spacing w:after="60"/>
        <w:ind w:left="200"/>
      </w:pPr>
      <w:r>
        <w:rPr>
          <w:rFonts w:ascii="Arial" w:cs="Arial" w:eastAsia="Arial" w:hAnsi="Arial"/>
          <w:b/>
          <w:bCs/>
          <w:color w:val="2E5496"/>
          <w:sz w:val="20"/>
          <w:szCs w:val="20"/>
        </w:rPr>
        <w:t xml:space="preserve">F.  </w:t>
      </w:r>
      <w:r>
        <w:rPr>
          <w:rFonts w:ascii="Arial" w:cs="Arial" w:eastAsia="Arial" w:hAnsi="Arial"/>
          <w:sz w:val="20"/>
          <w:szCs w:val="20"/>
        </w:rPr>
        <w:t xml:space="preserve">Differences from the Curaçao edition</w:t>
      </w:r>
    </w:p>
    <w:p>
      <w:r>
        <w:br w:type="page"/>
      </w:r>
    </w:p>
    <w:p>
      <w:pPr>
        <w:pStyle w:val="Heading1"/>
        <w:spacing w:after="140" w:before="320"/>
      </w:pPr>
      <w:r>
        <w:rPr>
          <w:rFonts w:ascii="Arial" w:cs="Arial" w:eastAsia="Arial" w:hAnsi="Arial"/>
          <w:b/>
          <w:bCs/>
          <w:color w:val="1F3864"/>
          <w:sz w:val="28"/>
          <w:szCs w:val="28"/>
        </w:rPr>
        <w:t xml:space="preserve">1. Purpose and status</w:t>
      </w:r>
    </w:p>
    <w:p>
      <w:pPr>
        <w:pStyle w:val="Heading2"/>
        <w:spacing w:after="100" w:before="220"/>
      </w:pPr>
      <w:r>
        <w:rPr>
          <w:rFonts w:ascii="Arial" w:cs="Arial" w:eastAsia="Arial" w:hAnsi="Arial"/>
          <w:b/>
          <w:bCs/>
          <w:color w:val="2E5496"/>
          <w:sz w:val="22"/>
          <w:szCs w:val="22"/>
        </w:rPr>
        <w:t xml:space="preserve">1.1 The problem this Standard addresses</w:t>
      </w:r>
    </w:p>
    <w:p>
      <w:pPr>
        <w:spacing w:after="120" w:line="264"/>
      </w:pPr>
      <w:r>
        <w:rPr>
          <w:rFonts w:ascii="Arial" w:cs="Arial" w:eastAsia="Arial" w:hAnsi="Arial"/>
          <w:sz w:val="20"/>
          <w:szCs w:val="20"/>
        </w:rPr>
        <w:t xml:space="preserve">Every gambling regulator asks operators the same five questions about money. Did it come from the player? Was it checked before it was accepted? Was it credited correctly? Where did it go when it left? Is the money owed to players actually there? Each regulator asks in its own format, on its own calendar and through its own channel.</w:t>
      </w:r>
    </w:p>
    <w:p>
      <w:pPr>
        <w:spacing w:after="120" w:line="264"/>
      </w:pPr>
      <w:r>
        <w:rPr>
          <w:rFonts w:ascii="Arial" w:cs="Arial" w:eastAsia="Arial" w:hAnsi="Arial"/>
          <w:sz w:val="20"/>
          <w:szCs w:val="20"/>
        </w:rPr>
        <w:t xml:space="preserve">The research behind this version reviewed the published rules of sixty-seven jurisdictions on five continents (Annex B), from long-established online markets to markets that are opening, closed or still writing their rules. The questions are the same in all of them. What differs is a small set of parameters: which payment rails are permitted, at what amounts checks and reports are triggered, over what time window amounts are aggregated, how quickly a payout must be made, where data must be held, and for how long.</w:t>
      </w:r>
    </w:p>
    <w:p>
      <w:pPr>
        <w:spacing w:after="120" w:line="264"/>
      </w:pPr>
      <w:r>
        <w:rPr>
          <w:rFonts w:ascii="Arial" w:cs="Arial" w:eastAsia="Arial" w:hAnsi="Arial"/>
          <w:sz w:val="20"/>
          <w:szCs w:val="20"/>
        </w:rPr>
        <w:t xml:space="preserve">Three consequences follow from the absence of a common format:</w:t>
      </w:r>
    </w:p>
    <w:p>
      <w:pPr>
        <w:pStyle w:val="ListParagraph"/>
        <w:numPr>
          <w:ilvl w:val="0"/>
          <w:numId w:val="2"/>
        </w:numPr>
        <w:spacing w:after="60" w:line="264"/>
      </w:pPr>
      <w:r>
        <w:rPr>
          <w:rFonts w:ascii="Arial" w:cs="Arial" w:eastAsia="Arial" w:hAnsi="Arial"/>
          <w:sz w:val="20"/>
          <w:szCs w:val="20"/>
        </w:rPr>
        <w:t xml:space="preserve">An operator licensed in several jurisdictions rebuilds the same evidence for each. In federal, provincial and entity systems — Argentina, Bosnia and Herzegovina, Canada, Nigeria, South Africa, the United States — the same facts arrive in as many shapes as there are licensing bodies.</w:t>
      </w:r>
    </w:p>
    <w:p>
      <w:pPr>
        <w:pStyle w:val="ListParagraph"/>
        <w:numPr>
          <w:ilvl w:val="0"/>
          <w:numId w:val="2"/>
        </w:numPr>
        <w:spacing w:after="60" w:line="264"/>
      </w:pPr>
      <w:r>
        <w:rPr>
          <w:rFonts w:ascii="Arial" w:cs="Arial" w:eastAsia="Arial" w:hAnsi="Arial"/>
          <w:sz w:val="20"/>
          <w:szCs w:val="20"/>
        </w:rPr>
        <w:t xml:space="preserve">More than half of the jurisdictions reviewed run, or are building, a central system, data vault or state transaction register — from Italy, Spain, Denmark and Germany to Brazil, Colombia, Kazakhstan, Uzbekistan and Uganda. Each defines the operator-side data afresh, so every new connection is a bespoke integration.</w:t>
      </w:r>
    </w:p>
    <w:p>
      <w:pPr>
        <w:pStyle w:val="ListParagraph"/>
        <w:numPr>
          <w:ilvl w:val="0"/>
          <w:numId w:val="2"/>
        </w:numPr>
        <w:spacing w:after="60" w:line="264"/>
      </w:pPr>
      <w:r>
        <w:rPr>
          <w:rFonts w:ascii="Arial" w:cs="Arial" w:eastAsia="Arial" w:hAnsi="Arial"/>
          <w:sz w:val="20"/>
          <w:szCs w:val="20"/>
        </w:rPr>
        <w:t xml:space="preserve">An operator that has implemented its controls well cannot prove it more cheaply than one that has not.</w:t>
      </w:r>
    </w:p>
    <w:p>
      <w:pPr>
        <w:spacing w:after="120" w:line="264"/>
      </w:pPr>
      <w:r>
        <w:rPr>
          <w:rFonts w:ascii="Arial" w:cs="Arial" w:eastAsia="Arial" w:hAnsi="Arial"/>
          <w:sz w:val="20"/>
          <w:szCs w:val="20"/>
        </w:rPr>
        <w:t xml:space="preserve">CTRES defines the shape of the evidence once and lets each jurisdiction set its own parameters.</w:t>
      </w:r>
    </w:p>
    <w:p>
      <w:pPr>
        <w:pStyle w:val="Heading2"/>
        <w:spacing w:after="100" w:before="220"/>
      </w:pPr>
      <w:r>
        <w:rPr>
          <w:rFonts w:ascii="Arial" w:cs="Arial" w:eastAsia="Arial" w:hAnsi="Arial"/>
          <w:b/>
          <w:bCs/>
          <w:color w:val="2E5496"/>
          <w:sz w:val="22"/>
          <w:szCs w:val="22"/>
        </w:rPr>
        <w:t xml:space="preserve">1.2 What this Standard is not</w:t>
      </w:r>
    </w:p>
    <w:p>
      <w:pPr>
        <w:pStyle w:val="ListParagraph"/>
        <w:numPr>
          <w:ilvl w:val="0"/>
          <w:numId w:val="2"/>
        </w:numPr>
        <w:spacing w:after="60" w:line="264"/>
      </w:pPr>
      <w:r>
        <w:rPr>
          <w:rFonts w:ascii="Arial" w:cs="Arial" w:eastAsia="Arial" w:hAnsi="Arial"/>
          <w:sz w:val="20"/>
          <w:szCs w:val="20"/>
        </w:rPr>
        <w:t xml:space="preserve">It creates no obligation. It formats evidence of duties that already exist under each jurisdiction’s law and licence conditions.</w:t>
      </w:r>
    </w:p>
    <w:p>
      <w:pPr>
        <w:pStyle w:val="ListParagraph"/>
        <w:numPr>
          <w:ilvl w:val="0"/>
          <w:numId w:val="2"/>
        </w:numPr>
        <w:spacing w:after="60" w:line="264"/>
      </w:pPr>
      <w:r>
        <w:rPr>
          <w:rFonts w:ascii="Arial" w:cs="Arial" w:eastAsia="Arial" w:hAnsi="Arial"/>
          <w:sz w:val="20"/>
          <w:szCs w:val="20"/>
        </w:rPr>
        <w:t xml:space="preserve">It does not replace any authority’s central system, reporting portal or financial intelligence reporting schema, such as goAML, the FINTRAC reporting API, Infostat-UIF or SIGAP. It is the operator-side evidence layer from which those submissions can be produced (§7).</w:t>
      </w:r>
    </w:p>
    <w:p>
      <w:pPr>
        <w:pStyle w:val="ListParagraph"/>
        <w:numPr>
          <w:ilvl w:val="0"/>
          <w:numId w:val="2"/>
        </w:numPr>
        <w:spacing w:after="60" w:line="264"/>
      </w:pPr>
      <w:r>
        <w:rPr>
          <w:rFonts w:ascii="Arial" w:cs="Arial" w:eastAsia="Arial" w:hAnsi="Arial"/>
          <w:sz w:val="20"/>
          <w:szCs w:val="20"/>
        </w:rPr>
        <w:t xml:space="preserve">It is independent of any authority. Every reference to a jurisdiction’s rules is a reading of published sources, offered to the authority concerned for review.</w:t>
      </w:r>
    </w:p>
    <w:p>
      <w:pPr>
        <w:pStyle w:val="ListParagraph"/>
        <w:numPr>
          <w:ilvl w:val="0"/>
          <w:numId w:val="2"/>
        </w:numPr>
        <w:spacing w:after="60" w:line="264"/>
      </w:pPr>
      <w:r>
        <w:rPr>
          <w:rFonts w:ascii="Arial" w:cs="Arial" w:eastAsia="Arial" w:hAnsi="Arial"/>
          <w:sz w:val="20"/>
          <w:szCs w:val="20"/>
        </w:rPr>
        <w:t xml:space="preserve">It names no vendor and requires none.</w:t>
      </w:r>
    </w:p>
    <w:p>
      <w:pPr>
        <w:pStyle w:val="ListParagraph"/>
        <w:numPr>
          <w:ilvl w:val="0"/>
          <w:numId w:val="2"/>
        </w:numPr>
        <w:spacing w:after="60" w:line="264"/>
      </w:pPr>
      <w:r>
        <w:rPr>
          <w:rFonts w:ascii="Arial" w:cs="Arial" w:eastAsia="Arial" w:hAnsi="Arial"/>
          <w:sz w:val="20"/>
          <w:szCs w:val="20"/>
        </w:rPr>
        <w:t xml:space="preserve">It does not cover game outcomes, wagering records beyond their reference, marketing data or behavioural analytics.</w:t>
      </w:r>
    </w:p>
    <w:p>
      <w:pPr>
        <w:pStyle w:val="Heading2"/>
        <w:spacing w:after="100" w:before="220"/>
      </w:pPr>
      <w:r>
        <w:rPr>
          <w:rFonts w:ascii="Arial" w:cs="Arial" w:eastAsia="Arial" w:hAnsi="Arial"/>
          <w:b/>
          <w:bCs/>
          <w:color w:val="2E5496"/>
          <w:sz w:val="22"/>
          <w:szCs w:val="22"/>
        </w:rPr>
        <w:t xml:space="preserve">1.3 Relation to the Curaçao edition</w:t>
      </w:r>
    </w:p>
    <w:p>
      <w:pPr>
        <w:spacing w:after="120" w:line="264"/>
      </w:pPr>
      <w:r>
        <w:rPr>
          <w:rFonts w:ascii="Arial" w:cs="Arial" w:eastAsia="Arial" w:hAnsi="Arial"/>
          <w:sz w:val="20"/>
          <w:szCs w:val="20"/>
        </w:rPr>
        <w:t xml:space="preserve">The first edition of this Standard, prepared in September 2026, covered virtual assets only, under one jurisdiction’s crypto policy. This universal edition keeps its record model and makes three structural changes:</w:t>
      </w:r>
    </w:p>
    <w:p>
      <w:pPr>
        <w:pStyle w:val="ListParagraph"/>
        <w:numPr>
          <w:ilvl w:val="0"/>
          <w:numId w:val="2"/>
        </w:numPr>
        <w:spacing w:after="60" w:line="264"/>
      </w:pPr>
      <w:r>
        <w:rPr>
          <w:rFonts w:ascii="Arial" w:cs="Arial" w:eastAsia="Arial" w:hAnsi="Arial"/>
          <w:sz w:val="20"/>
          <w:szCs w:val="20"/>
        </w:rPr>
        <w:t xml:space="preserve">Rail-neutral core. The record model describes any payment rail. Virtual assets become one rail module among seven (§6), and everything the Curaçao edition defined for them is kept.</w:t>
      </w:r>
    </w:p>
    <w:p>
      <w:pPr>
        <w:pStyle w:val="ListParagraph"/>
        <w:numPr>
          <w:ilvl w:val="0"/>
          <w:numId w:val="2"/>
        </w:numPr>
        <w:spacing w:after="60" w:line="264"/>
      </w:pPr>
      <w:r>
        <w:rPr>
          <w:rFonts w:ascii="Arial" w:cs="Arial" w:eastAsia="Arial" w:hAnsi="Arial"/>
          <w:sz w:val="20"/>
          <w:szCs w:val="20"/>
        </w:rPr>
        <w:t xml:space="preserve">Jurisdiction profiles. Thresholds, windows, permitted rails, deadlines and retention periods are no longer written into the records; they are parameters of a profile (§5). Profiles for sixty-seven jurisdictions, researched from published sources, are in Annex B.</w:t>
      </w:r>
    </w:p>
    <w:p>
      <w:pPr>
        <w:pStyle w:val="ListParagraph"/>
        <w:numPr>
          <w:ilvl w:val="0"/>
          <w:numId w:val="2"/>
        </w:numPr>
        <w:spacing w:after="60" w:line="264"/>
      </w:pPr>
      <w:r>
        <w:rPr>
          <w:rFonts w:ascii="Arial" w:cs="Arial" w:eastAsia="Arial" w:hAnsi="Arial"/>
          <w:sz w:val="20"/>
          <w:szCs w:val="20"/>
        </w:rPr>
        <w:t xml:space="preserve">Map, don’t replace. Each record carries the references that payment rails and regulators’ own systems issue, so a single source of truth can feed every submission (§7).</w:t>
      </w:r>
    </w:p>
    <w:p>
      <w:pPr>
        <w:spacing w:after="120" w:line="264"/>
      </w:pPr>
      <w:r>
        <w:rPr>
          <w:rFonts w:ascii="Arial" w:cs="Arial" w:eastAsia="Arial" w:hAnsi="Arial"/>
          <w:sz w:val="20"/>
          <w:szCs w:val="20"/>
        </w:rPr>
        <w:t xml:space="preserve">The full list of differences is in Annex F.</w:t>
      </w:r>
    </w:p>
    <w:p>
      <w:pPr>
        <w:pStyle w:val="Heading1"/>
        <w:spacing w:after="140" w:before="320"/>
      </w:pPr>
      <w:r>
        <w:rPr>
          <w:rFonts w:ascii="Arial" w:cs="Arial" w:eastAsia="Arial" w:hAnsi="Arial"/>
          <w:b/>
          <w:bCs/>
          <w:color w:val="1F3864"/>
          <w:sz w:val="28"/>
          <w:szCs w:val="28"/>
        </w:rPr>
        <w:t xml:space="preserve">2. Scope</w:t>
      </w:r>
    </w:p>
    <w:p>
      <w:pPr>
        <w:pStyle w:val="Heading2"/>
        <w:spacing w:after="100" w:before="220"/>
      </w:pPr>
      <w:r>
        <w:rPr>
          <w:rFonts w:ascii="Arial" w:cs="Arial" w:eastAsia="Arial" w:hAnsi="Arial"/>
          <w:b/>
          <w:bCs/>
          <w:color w:val="2E5496"/>
          <w:sz w:val="22"/>
          <w:szCs w:val="22"/>
        </w:rPr>
        <w:t xml:space="preserve">2.1 In scope</w:t>
      </w:r>
    </w:p>
    <w:p>
      <w:pPr>
        <w:spacing w:after="120" w:line="264"/>
      </w:pPr>
      <w:r>
        <w:rPr>
          <w:rFonts w:ascii="Arial" w:cs="Arial" w:eastAsia="Arial" w:hAnsi="Arial"/>
          <w:sz w:val="20"/>
          <w:szCs w:val="20"/>
        </w:rPr>
        <w:t xml:space="preserve">Licensed gambling operators — online and, where an authority so chooses, retail and land-based — and the payment providers acting for them, for the following:</w:t>
      </w:r>
    </w:p>
    <w:p>
      <w:pPr>
        <w:pStyle w:val="ListParagraph"/>
        <w:numPr>
          <w:ilvl w:val="0"/>
          <w:numId w:val="2"/>
        </w:numPr>
        <w:spacing w:after="60" w:line="264"/>
      </w:pPr>
      <w:r>
        <w:rPr>
          <w:rFonts w:ascii="Arial" w:cs="Arial" w:eastAsia="Arial" w:hAnsi="Arial"/>
          <w:sz w:val="20"/>
          <w:szCs w:val="20"/>
        </w:rPr>
        <w:t xml:space="preserve">Player deposits and withdrawals on any rail, and the payment instruments used.</w:t>
      </w:r>
    </w:p>
    <w:p>
      <w:pPr>
        <w:pStyle w:val="ListParagraph"/>
        <w:numPr>
          <w:ilvl w:val="0"/>
          <w:numId w:val="2"/>
        </w:numPr>
        <w:spacing w:after="60" w:line="264"/>
      </w:pPr>
      <w:r>
        <w:rPr>
          <w:rFonts w:ascii="Arial" w:cs="Arial" w:eastAsia="Arial" w:hAnsi="Arial"/>
          <w:sz w:val="20"/>
          <w:szCs w:val="20"/>
        </w:rPr>
        <w:t xml:space="preserve">Every location where the operator holds money: player-funds accounts, operational and treasury accounts, provider balances, mobile money collection accounts, virtual-asset wallets and cash floats.</w:t>
      </w:r>
    </w:p>
    <w:p>
      <w:pPr>
        <w:pStyle w:val="ListParagraph"/>
        <w:numPr>
          <w:ilvl w:val="0"/>
          <w:numId w:val="2"/>
        </w:numPr>
        <w:spacing w:after="60" w:line="264"/>
      </w:pPr>
      <w:r>
        <w:rPr>
          <w:rFonts w:ascii="Arial" w:cs="Arial" w:eastAsia="Arial" w:hAnsi="Arial"/>
          <w:sz w:val="20"/>
          <w:szCs w:val="20"/>
        </w:rPr>
        <w:t xml:space="preserve">Checks that precede the movement of money: identity and holder verification, sanctions, eligibility and exclusion registers, limits, source of funds, fraud and blockchain analytics.</w:t>
      </w:r>
    </w:p>
    <w:p>
      <w:pPr>
        <w:pStyle w:val="ListParagraph"/>
        <w:numPr>
          <w:ilvl w:val="0"/>
          <w:numId w:val="2"/>
        </w:numPr>
        <w:spacing w:after="60" w:line="264"/>
      </w:pPr>
      <w:r>
        <w:rPr>
          <w:rFonts w:ascii="Arial" w:cs="Arial" w:eastAsia="Arial" w:hAnsi="Arial"/>
          <w:sz w:val="20"/>
          <w:szCs w:val="20"/>
        </w:rPr>
        <w:t xml:space="preserve">Taxes levied or withheld at the point of payment.</w:t>
      </w:r>
    </w:p>
    <w:p>
      <w:pPr>
        <w:pStyle w:val="ListParagraph"/>
        <w:numPr>
          <w:ilvl w:val="0"/>
          <w:numId w:val="2"/>
        </w:numPr>
        <w:spacing w:after="60" w:line="264"/>
      </w:pPr>
      <w:r>
        <w:rPr>
          <w:rFonts w:ascii="Arial" w:cs="Arial" w:eastAsia="Arial" w:hAnsi="Arial"/>
          <w:sz w:val="20"/>
          <w:szCs w:val="20"/>
        </w:rPr>
        <w:t xml:space="preserve">Movements between the operator’s own funds locations.</w:t>
      </w:r>
    </w:p>
    <w:p>
      <w:pPr>
        <w:pStyle w:val="ListParagraph"/>
        <w:numPr>
          <w:ilvl w:val="0"/>
          <w:numId w:val="2"/>
        </w:numPr>
        <w:spacing w:after="60" w:line="264"/>
      </w:pPr>
      <w:r>
        <w:rPr>
          <w:rFonts w:ascii="Arial" w:cs="Arial" w:eastAsia="Arial" w:hAnsi="Arial"/>
          <w:sz w:val="20"/>
          <w:szCs w:val="20"/>
        </w:rPr>
        <w:t xml:space="preserve">Reconciliation of each funds location, and of total player liabilities against the funds held to cover them.</w:t>
      </w:r>
    </w:p>
    <w:p>
      <w:pPr>
        <w:pStyle w:val="ListParagraph"/>
        <w:numPr>
          <w:ilvl w:val="0"/>
          <w:numId w:val="2"/>
        </w:numPr>
        <w:spacing w:after="60" w:line="264"/>
      </w:pPr>
      <w:r>
        <w:rPr>
          <w:rFonts w:ascii="Arial" w:cs="Arial" w:eastAsia="Arial" w:hAnsi="Arial"/>
          <w:sz w:val="20"/>
          <w:szCs w:val="20"/>
        </w:rPr>
        <w:t xml:space="preserve">Exceptions, incidents, and references to reports filed with other authorities.</w:t>
      </w:r>
    </w:p>
    <w:p>
      <w:pPr>
        <w:pStyle w:val="Heading2"/>
        <w:spacing w:after="100" w:before="220"/>
      </w:pPr>
      <w:r>
        <w:rPr>
          <w:rFonts w:ascii="Arial" w:cs="Arial" w:eastAsia="Arial" w:hAnsi="Arial"/>
          <w:b/>
          <w:bCs/>
          <w:color w:val="2E5496"/>
          <w:sz w:val="22"/>
          <w:szCs w:val="22"/>
        </w:rPr>
        <w:t xml:space="preserve">2.2 Out of scope</w:t>
      </w:r>
    </w:p>
    <w:p>
      <w:pPr>
        <w:spacing w:after="120" w:line="264"/>
      </w:pPr>
      <w:r>
        <w:rPr>
          <w:rFonts w:ascii="Arial" w:cs="Arial" w:eastAsia="Arial" w:hAnsi="Arial"/>
          <w:sz w:val="20"/>
          <w:szCs w:val="20"/>
        </w:rPr>
        <w:t xml:space="preserve">Game and wager records, which are referenced but not reproduced; marketing and affiliate data; behavioural analytics; and the content of suspicious transaction reports, which remains under the confidentiality rules of each jurisdiction (§12).</w:t>
      </w:r>
    </w:p>
    <w:p>
      <w:pPr>
        <w:pStyle w:val="Heading1"/>
        <w:spacing w:after="140" w:before="320"/>
      </w:pPr>
      <w:r>
        <w:rPr>
          <w:rFonts w:ascii="Arial" w:cs="Arial" w:eastAsia="Arial" w:hAnsi="Arial"/>
          <w:b/>
          <w:bCs/>
          <w:color w:val="1F3864"/>
          <w:sz w:val="28"/>
          <w:szCs w:val="28"/>
        </w:rPr>
        <w:t xml:space="preserve">3. Design principles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500"/>
        <w:gridCol w:w="7246"/>
      </w:tblGrid>
      <w:tr>
        <w:trPr>
          <w:tblHeader/>
        </w:trPr>
        <w:tc>
          <w:tcPr>
            <w:tcW w:type="dxa" w:w="25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Principle</w:t>
            </w:r>
          </w:p>
        </w:tc>
        <w:tc>
          <w:tcPr>
            <w:tcW w:type="dxa" w:w="72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What it means in practice</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No new obligations</w:t>
            </w:r>
          </w:p>
        </w:tc>
        <w:tc>
          <w:tcPr>
            <w:tcW w:type="dxa" w:w="7246"/>
            <w:tcMar>
              <w:top w:type="dxa" w:w="50"/>
              <w:left w:type="dxa" w:w="80"/>
              <w:bottom w:type="dxa" w:w="50"/>
              <w:right w:type="dxa" w:w="80"/>
            </w:tcMar>
          </w:tcPr>
          <w:p>
            <w:pPr>
              <w:spacing w:after="0" w:line="230"/>
            </w:pPr>
            <w:r>
              <w:rPr>
                <w:rFonts w:ascii="Arial" w:cs="Arial" w:eastAsia="Arial" w:hAnsi="Arial"/>
                <w:sz w:val="18"/>
                <w:szCs w:val="18"/>
              </w:rPr>
              <w:t xml:space="preserve">The Standard formats evidence of duties that already exist. A field that cannot be traced to a requirement in at least one jurisdiction is optional.</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Rail-neutral core, rail modules at the edge</w:t>
            </w:r>
          </w:p>
        </w:tc>
        <w:tc>
          <w:tcPr>
            <w:tcW w:type="dxa" w:w="72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Fields common to every rail live in the core records. Fields that exist on one rail only — a transaction hash, a card BIN, a mobile money receipt, a retail point identifier — live in a rail module (§6).</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Jurisdiction as configuration</w:t>
            </w:r>
          </w:p>
        </w:tc>
        <w:tc>
          <w:tcPr>
            <w:tcW w:type="dxa" w:w="7246"/>
            <w:tcMar>
              <w:top w:type="dxa" w:w="50"/>
              <w:left w:type="dxa" w:w="80"/>
              <w:bottom w:type="dxa" w:w="50"/>
              <w:right w:type="dxa" w:w="80"/>
            </w:tcMar>
          </w:tcPr>
          <w:p>
            <w:pPr>
              <w:spacing w:after="0" w:line="230"/>
            </w:pPr>
            <w:r>
              <w:rPr>
                <w:rFonts w:ascii="Arial" w:cs="Arial" w:eastAsia="Arial" w:hAnsi="Arial"/>
                <w:sz w:val="18"/>
                <w:szCs w:val="18"/>
              </w:rPr>
              <w:t xml:space="preserve">Thresholds, aggregation windows, deadlines, permitted rails and retention periods are profile parameters, never constants in the format. Records carry the raw facts needed to apply any profile.</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Map, don’t replace</w:t>
            </w:r>
          </w:p>
        </w:tc>
        <w:tc>
          <w:tcPr>
            <w:tcW w:type="dxa" w:w="72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Regulators keep their own channels and schemas. CTRES records carry the references those systems issue and can be transformed into their formats.</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Evidence over assertion</w:t>
            </w:r>
          </w:p>
        </w:tc>
        <w:tc>
          <w:tcPr>
            <w:tcW w:type="dxa" w:w="7246"/>
            <w:tcMar>
              <w:top w:type="dxa" w:w="50"/>
              <w:left w:type="dxa" w:w="80"/>
              <w:bottom w:type="dxa" w:w="50"/>
              <w:right w:type="dxa" w:w="80"/>
            </w:tcMar>
          </w:tcPr>
          <w:p>
            <w:pPr>
              <w:spacing w:after="0" w:line="230"/>
            </w:pPr>
            <w:r>
              <w:rPr>
                <w:rFonts w:ascii="Arial" w:cs="Arial" w:eastAsia="Arial" w:hAnsi="Arial"/>
                <w:sz w:val="18"/>
                <w:szCs w:val="18"/>
              </w:rPr>
              <w:t xml:space="preserve">A control is reported as the record it produced, with a timestamp and an actor, not as a statement that the control exists.</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Computed, not declared</w:t>
            </w:r>
          </w:p>
        </w:tc>
        <w:tc>
          <w:tcPr>
            <w:tcW w:type="dxa" w:w="72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Where a fact can be derived from other records — a payout to the instrument that funded the account, a movement out of player funds, the time taken to report an incident — validation derives it instead of trusting a flag the operator sets.</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Visible gaps</w:t>
            </w:r>
          </w:p>
        </w:tc>
        <w:tc>
          <w:tcPr>
            <w:tcW w:type="dxa" w:w="7246"/>
            <w:tcMar>
              <w:top w:type="dxa" w:w="50"/>
              <w:left w:type="dxa" w:w="80"/>
              <w:bottom w:type="dxa" w:w="50"/>
              <w:right w:type="dxa" w:w="80"/>
            </w:tcMar>
          </w:tcPr>
          <w:p>
            <w:pPr>
              <w:spacing w:after="0" w:line="230"/>
            </w:pPr>
            <w:r>
              <w:rPr>
                <w:rFonts w:ascii="Arial" w:cs="Arial" w:eastAsia="Arial" w:hAnsi="Arial"/>
                <w:sz w:val="18"/>
                <w:szCs w:val="18"/>
              </w:rPr>
              <w:t xml:space="preserve">Where a control left no record, the field is reported as not_recorded rather than omitted, so that an absence of evidence is visible and is not mistaken for an export error.</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Pseudonymous by default</w:t>
            </w:r>
          </w:p>
        </w:tc>
        <w:tc>
          <w:tcPr>
            <w:tcW w:type="dxa" w:w="72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Periodic submissions carry player references, masked account numbers and hashed phone numbers — never identity documents.</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Proportionate</w:t>
            </w:r>
          </w:p>
        </w:tc>
        <w:tc>
          <w:tcPr>
            <w:tcW w:type="dxa" w:w="7246"/>
            <w:tcMar>
              <w:top w:type="dxa" w:w="50"/>
              <w:left w:type="dxa" w:w="80"/>
              <w:bottom w:type="dxa" w:w="50"/>
              <w:right w:type="dxa" w:w="80"/>
            </w:tcMar>
          </w:tcPr>
          <w:p>
            <w:pPr>
              <w:spacing w:after="0" w:line="230"/>
            </w:pPr>
            <w:r>
              <w:rPr>
                <w:rFonts w:ascii="Arial" w:cs="Arial" w:eastAsia="Arial" w:hAnsi="Arial"/>
                <w:sz w:val="18"/>
                <w:szCs w:val="18"/>
              </w:rPr>
              <w:t xml:space="preserve">Three conformance levels let a small operator comply with files and a large one with an interface.</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Deterministic and verifiable</w:t>
            </w:r>
          </w:p>
        </w:tc>
        <w:tc>
          <w:tcPr>
            <w:tcW w:type="dxa" w:w="72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The same inputs produce the same package. Every package carries a manifest with a hash per file and may carry a signature, so a submission can be proved unaltered.</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Currency-aware</w:t>
            </w:r>
          </w:p>
        </w:tc>
        <w:tc>
          <w:tcPr>
            <w:tcW w:type="dxa" w:w="7246"/>
            <w:tcMar>
              <w:top w:type="dxa" w:w="50"/>
              <w:left w:type="dxa" w:w="80"/>
              <w:bottom w:type="dxa" w:w="50"/>
              <w:right w:type="dxa" w:w="80"/>
            </w:tcMar>
          </w:tcPr>
          <w:p>
            <w:pPr>
              <w:spacing w:after="0" w:line="230"/>
            </w:pPr>
            <w:r>
              <w:rPr>
                <w:rFonts w:ascii="Arial" w:cs="Arial" w:eastAsia="Arial" w:hAnsi="Arial"/>
                <w:sz w:val="18"/>
                <w:szCs w:val="18"/>
              </w:rPr>
              <w:t xml:space="preserve">Amounts are decimal strings with an ISO 4217 code or an asset identifier, plus a reporting-currency value with its rate and source, so that thresholds in any currency can be applied. Thresholds set in indexed units — minimum wages, UMA, UIT, base units — are converted with the value in force on the transaction date, which the profile records.</w:t>
            </w:r>
          </w:p>
        </w:tc>
      </w:tr>
    </w:tbl>
    <w:p>
      <w:pPr>
        <w:pStyle w:val="Heading1"/>
        <w:spacing w:after="140" w:before="320"/>
      </w:pPr>
      <w:r>
        <w:rPr>
          <w:rFonts w:ascii="Arial" w:cs="Arial" w:eastAsia="Arial" w:hAnsi="Arial"/>
          <w:b/>
          <w:bCs/>
          <w:color w:val="1F3864"/>
          <w:sz w:val="28"/>
          <w:szCs w:val="28"/>
        </w:rPr>
        <w:t xml:space="preserve">4. Record model</w:t>
      </w:r>
    </w:p>
    <w:p>
      <w:pPr>
        <w:spacing w:after="120" w:line="264"/>
      </w:pPr>
      <w:r>
        <w:rPr>
          <w:rFonts w:ascii="Arial" w:cs="Arial" w:eastAsia="Arial" w:hAnsi="Arial"/>
          <w:sz w:val="20"/>
          <w:szCs w:val="20"/>
        </w:rPr>
        <w:t xml:space="preserve">Twelve record types. Each record is one line of JSON; each file holds one record type for one period. Core fields are listed below; rail-module fields are described in §6, and the complete catalogue is maintained as a machine-readable schema (Annex A), published at github.com/ctres-standard/schema.</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700"/>
        <w:gridCol w:w="2600"/>
        <w:gridCol w:w="6446"/>
      </w:tblGrid>
      <w:tr>
        <w:trPr>
          <w:tblHeader/>
        </w:trPr>
        <w:tc>
          <w:tcPr>
            <w:tcW w:type="dxa" w:w="7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ID</w:t>
            </w:r>
          </w:p>
        </w:tc>
        <w:tc>
          <w:tcPr>
            <w:tcW w:type="dxa" w:w="26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Record</w:t>
            </w:r>
          </w:p>
        </w:tc>
        <w:tc>
          <w:tcPr>
            <w:tcW w:type="dxa" w:w="64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The question it answers</w:t>
            </w:r>
          </w:p>
        </w:tc>
      </w:tr>
      <w:tr>
        <w:trPr>
          <w:cantSplit w:val="false"/>
        </w:trPr>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R1</w:t>
            </w:r>
          </w:p>
        </w:tc>
        <w:tc>
          <w:tcPr>
            <w:tcW w:type="dxa" w:w="2600"/>
            <w:tcMar>
              <w:top w:type="dxa" w:w="50"/>
              <w:left w:type="dxa" w:w="80"/>
              <w:bottom w:type="dxa" w:w="50"/>
              <w:right w:type="dxa" w:w="80"/>
            </w:tcMar>
          </w:tcPr>
          <w:p>
            <w:pPr>
              <w:spacing w:after="0" w:line="230"/>
            </w:pPr>
            <w:r>
              <w:rPr>
                <w:rFonts w:ascii="Arial" w:cs="Arial" w:eastAsia="Arial" w:hAnsi="Arial"/>
                <w:sz w:val="18"/>
                <w:szCs w:val="18"/>
              </w:rPr>
              <w:t xml:space="preserve">Funds Location</w:t>
            </w:r>
          </w:p>
        </w:tc>
        <w:tc>
          <w:tcPr>
            <w:tcW w:type="dxa" w:w="6446"/>
            <w:tcMar>
              <w:top w:type="dxa" w:w="50"/>
              <w:left w:type="dxa" w:w="80"/>
              <w:bottom w:type="dxa" w:w="50"/>
              <w:right w:type="dxa" w:w="80"/>
            </w:tcMar>
          </w:tcPr>
          <w:p>
            <w:pPr>
              <w:spacing w:after="0" w:line="230"/>
            </w:pPr>
            <w:r>
              <w:rPr>
                <w:rFonts w:ascii="Arial" w:cs="Arial" w:eastAsia="Arial" w:hAnsi="Arial"/>
                <w:sz w:val="18"/>
                <w:szCs w:val="18"/>
              </w:rPr>
              <w:t xml:space="preserve">Where does the operator hold money, for what purpose, and under what protection?</w:t>
            </w:r>
          </w:p>
        </w:tc>
      </w:tr>
      <w:tr>
        <w:trPr>
          <w:cantSplit w:val="false"/>
        </w:trPr>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R2</w:t>
            </w:r>
          </w:p>
        </w:tc>
        <w:tc>
          <w:tcPr>
            <w:tcW w:type="dxa" w:w="26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Payment Instrument Link</w:t>
            </w:r>
          </w:p>
        </w:tc>
        <w:tc>
          <w:tcPr>
            <w:tcW w:type="dxa" w:w="6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Does this instrument belong to this player, and may it receive payouts?</w:t>
            </w:r>
          </w:p>
        </w:tc>
      </w:tr>
      <w:tr>
        <w:trPr>
          <w:cantSplit w:val="false"/>
        </w:trPr>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R3</w:t>
            </w:r>
          </w:p>
        </w:tc>
        <w:tc>
          <w:tcPr>
            <w:tcW w:type="dxa" w:w="2600"/>
            <w:tcMar>
              <w:top w:type="dxa" w:w="50"/>
              <w:left w:type="dxa" w:w="80"/>
              <w:bottom w:type="dxa" w:w="50"/>
              <w:right w:type="dxa" w:w="80"/>
            </w:tcMar>
          </w:tcPr>
          <w:p>
            <w:pPr>
              <w:spacing w:after="0" w:line="230"/>
            </w:pPr>
            <w:r>
              <w:rPr>
                <w:rFonts w:ascii="Arial" w:cs="Arial" w:eastAsia="Arial" w:hAnsi="Arial"/>
                <w:sz w:val="18"/>
                <w:szCs w:val="18"/>
              </w:rPr>
              <w:t xml:space="preserve">Deposit</w:t>
            </w:r>
          </w:p>
        </w:tc>
        <w:tc>
          <w:tcPr>
            <w:tcW w:type="dxa" w:w="6446"/>
            <w:tcMar>
              <w:top w:type="dxa" w:w="50"/>
              <w:left w:type="dxa" w:w="80"/>
              <w:bottom w:type="dxa" w:w="50"/>
              <w:right w:type="dxa" w:w="80"/>
            </w:tcMar>
          </w:tcPr>
          <w:p>
            <w:pPr>
              <w:spacing w:after="0" w:line="230"/>
            </w:pPr>
            <w:r>
              <w:rPr>
                <w:rFonts w:ascii="Arial" w:cs="Arial" w:eastAsia="Arial" w:hAnsi="Arial"/>
                <w:sz w:val="18"/>
                <w:szCs w:val="18"/>
              </w:rPr>
              <w:t xml:space="preserve">What came in, from which instrument, when was it credited, and what was checked first?</w:t>
            </w:r>
          </w:p>
        </w:tc>
      </w:tr>
      <w:tr>
        <w:trPr>
          <w:cantSplit w:val="false"/>
        </w:trPr>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R4</w:t>
            </w:r>
          </w:p>
        </w:tc>
        <w:tc>
          <w:tcPr>
            <w:tcW w:type="dxa" w:w="26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Withdrawal</w:t>
            </w:r>
          </w:p>
        </w:tc>
        <w:tc>
          <w:tcPr>
            <w:tcW w:type="dxa" w:w="6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What went out, to which instrument, who released it, and how quickly?</w:t>
            </w:r>
          </w:p>
        </w:tc>
      </w:tr>
      <w:tr>
        <w:trPr>
          <w:cantSplit w:val="false"/>
        </w:trPr>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R5</w:t>
            </w:r>
          </w:p>
        </w:tc>
        <w:tc>
          <w:tcPr>
            <w:tcW w:type="dxa" w:w="2600"/>
            <w:tcMar>
              <w:top w:type="dxa" w:w="50"/>
              <w:left w:type="dxa" w:w="80"/>
              <w:bottom w:type="dxa" w:w="50"/>
              <w:right w:type="dxa" w:w="80"/>
            </w:tcMar>
          </w:tcPr>
          <w:p>
            <w:pPr>
              <w:spacing w:after="0" w:line="230"/>
            </w:pPr>
            <w:r>
              <w:rPr>
                <w:rFonts w:ascii="Arial" w:cs="Arial" w:eastAsia="Arial" w:hAnsi="Arial"/>
                <w:sz w:val="18"/>
                <w:szCs w:val="18"/>
              </w:rPr>
              <w:t xml:space="preserve">Check Decision</w:t>
            </w:r>
          </w:p>
        </w:tc>
        <w:tc>
          <w:tcPr>
            <w:tcW w:type="dxa" w:w="6446"/>
            <w:tcMar>
              <w:top w:type="dxa" w:w="50"/>
              <w:left w:type="dxa" w:w="80"/>
              <w:bottom w:type="dxa" w:w="50"/>
              <w:right w:type="dxa" w:w="80"/>
            </w:tcMar>
          </w:tcPr>
          <w:p>
            <w:pPr>
              <w:spacing w:after="0" w:line="230"/>
            </w:pPr>
            <w:r>
              <w:rPr>
                <w:rFonts w:ascii="Arial" w:cs="Arial" w:eastAsia="Arial" w:hAnsi="Arial"/>
                <w:sz w:val="18"/>
                <w:szCs w:val="18"/>
              </w:rPr>
              <w:t xml:space="preserve">Which control ran, before which event, with what outcome?</w:t>
            </w:r>
          </w:p>
        </w:tc>
      </w:tr>
      <w:tr>
        <w:trPr>
          <w:cantSplit w:val="false"/>
        </w:trPr>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R6</w:t>
            </w:r>
          </w:p>
        </w:tc>
        <w:tc>
          <w:tcPr>
            <w:tcW w:type="dxa" w:w="26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Internal Movement</w:t>
            </w:r>
          </w:p>
        </w:tc>
        <w:tc>
          <w:tcPr>
            <w:tcW w:type="dxa" w:w="6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Did money move between the operator’s own locations, and was segregation kept?</w:t>
            </w:r>
          </w:p>
        </w:tc>
      </w:tr>
      <w:tr>
        <w:trPr>
          <w:cantSplit w:val="false"/>
        </w:trPr>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R7</w:t>
            </w:r>
          </w:p>
        </w:tc>
        <w:tc>
          <w:tcPr>
            <w:tcW w:type="dxa" w:w="2600"/>
            <w:tcMar>
              <w:top w:type="dxa" w:w="50"/>
              <w:left w:type="dxa" w:w="80"/>
              <w:bottom w:type="dxa" w:w="50"/>
              <w:right w:type="dxa" w:w="80"/>
            </w:tcMar>
          </w:tcPr>
          <w:p>
            <w:pPr>
              <w:spacing w:after="0" w:line="230"/>
            </w:pPr>
            <w:r>
              <w:rPr>
                <w:rFonts w:ascii="Arial" w:cs="Arial" w:eastAsia="Arial" w:hAnsi="Arial"/>
                <w:sz w:val="18"/>
                <w:szCs w:val="18"/>
              </w:rPr>
              <w:t xml:space="preserve">Reconciliation Statement</w:t>
            </w:r>
          </w:p>
        </w:tc>
        <w:tc>
          <w:tcPr>
            <w:tcW w:type="dxa" w:w="6446"/>
            <w:tcMar>
              <w:top w:type="dxa" w:w="50"/>
              <w:left w:type="dxa" w:w="80"/>
              <w:bottom w:type="dxa" w:w="50"/>
              <w:right w:type="dxa" w:w="80"/>
            </w:tcMar>
          </w:tcPr>
          <w:p>
            <w:pPr>
              <w:spacing w:after="0" w:line="230"/>
            </w:pPr>
            <w:r>
              <w:rPr>
                <w:rFonts w:ascii="Arial" w:cs="Arial" w:eastAsia="Arial" w:hAnsi="Arial"/>
                <w:sz w:val="18"/>
                <w:szCs w:val="18"/>
              </w:rPr>
              <w:t xml:space="preserve">Do the books match the external statements, and are player liabilities covered?</w:t>
            </w:r>
          </w:p>
        </w:tc>
      </w:tr>
      <w:tr>
        <w:trPr>
          <w:cantSplit w:val="false"/>
        </w:trPr>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R8</w:t>
            </w:r>
          </w:p>
        </w:tc>
        <w:tc>
          <w:tcPr>
            <w:tcW w:type="dxa" w:w="26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Exception</w:t>
            </w:r>
          </w:p>
        </w:tc>
        <w:tc>
          <w:tcPr>
            <w:tcW w:type="dxa" w:w="6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What could not be explained, for how much, for how long, and who owns it?</w:t>
            </w:r>
          </w:p>
        </w:tc>
      </w:tr>
      <w:tr>
        <w:trPr>
          <w:cantSplit w:val="false"/>
        </w:trPr>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R9</w:t>
            </w:r>
          </w:p>
        </w:tc>
        <w:tc>
          <w:tcPr>
            <w:tcW w:type="dxa" w:w="2600"/>
            <w:tcMar>
              <w:top w:type="dxa" w:w="50"/>
              <w:left w:type="dxa" w:w="80"/>
              <w:bottom w:type="dxa" w:w="50"/>
              <w:right w:type="dxa" w:w="80"/>
            </w:tcMar>
          </w:tcPr>
          <w:p>
            <w:pPr>
              <w:spacing w:after="0" w:line="230"/>
            </w:pPr>
            <w:r>
              <w:rPr>
                <w:rFonts w:ascii="Arial" w:cs="Arial" w:eastAsia="Arial" w:hAnsi="Arial"/>
                <w:sz w:val="18"/>
                <w:szCs w:val="18"/>
              </w:rPr>
              <w:t xml:space="preserve">Incident</w:t>
            </w:r>
          </w:p>
        </w:tc>
        <w:tc>
          <w:tcPr>
            <w:tcW w:type="dxa" w:w="6446"/>
            <w:tcMar>
              <w:top w:type="dxa" w:w="50"/>
              <w:left w:type="dxa" w:w="80"/>
              <w:bottom w:type="dxa" w:w="50"/>
              <w:right w:type="dxa" w:w="80"/>
            </w:tcMar>
          </w:tcPr>
          <w:p>
            <w:pPr>
              <w:spacing w:after="0" w:line="230"/>
            </w:pPr>
            <w:r>
              <w:rPr>
                <w:rFonts w:ascii="Arial" w:cs="Arial" w:eastAsia="Arial" w:hAnsi="Arial"/>
                <w:sz w:val="18"/>
                <w:szCs w:val="18"/>
              </w:rPr>
              <w:t xml:space="preserve">What happened that an authority must be told, and when was it told?</w:t>
            </w:r>
          </w:p>
        </w:tc>
      </w:tr>
      <w:tr>
        <w:trPr>
          <w:cantSplit w:val="false"/>
        </w:trPr>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R10</w:t>
            </w:r>
          </w:p>
        </w:tc>
        <w:tc>
          <w:tcPr>
            <w:tcW w:type="dxa" w:w="26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Provider Register</w:t>
            </w:r>
          </w:p>
        </w:tc>
        <w:tc>
          <w:tcPr>
            <w:tcW w:type="dxa" w:w="6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Who handles the money, under whose authorisation, after what due diligence?</w:t>
            </w:r>
          </w:p>
        </w:tc>
      </w:tr>
      <w:tr>
        <w:trPr>
          <w:cantSplit w:val="false"/>
        </w:trPr>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R11</w:t>
            </w:r>
          </w:p>
        </w:tc>
        <w:tc>
          <w:tcPr>
            <w:tcW w:type="dxa" w:w="2600"/>
            <w:tcMar>
              <w:top w:type="dxa" w:w="50"/>
              <w:left w:type="dxa" w:w="80"/>
              <w:bottom w:type="dxa" w:w="50"/>
              <w:right w:type="dxa" w:w="80"/>
            </w:tcMar>
          </w:tcPr>
          <w:p>
            <w:pPr>
              <w:spacing w:after="0" w:line="230"/>
            </w:pPr>
            <w:r>
              <w:rPr>
                <w:rFonts w:ascii="Arial" w:cs="Arial" w:eastAsia="Arial" w:hAnsi="Arial"/>
                <w:sz w:val="18"/>
                <w:szCs w:val="18"/>
              </w:rPr>
              <w:t xml:space="preserve">Provider Attestation</w:t>
            </w:r>
          </w:p>
        </w:tc>
        <w:tc>
          <w:tcPr>
            <w:tcW w:type="dxa" w:w="6446"/>
            <w:tcMar>
              <w:top w:type="dxa" w:w="50"/>
              <w:left w:type="dxa" w:w="80"/>
              <w:bottom w:type="dxa" w:w="50"/>
              <w:right w:type="dxa" w:w="80"/>
            </w:tcMar>
          </w:tcPr>
          <w:p>
            <w:pPr>
              <w:spacing w:after="0" w:line="230"/>
            </w:pPr>
            <w:r>
              <w:rPr>
                <w:rFonts w:ascii="Arial" w:cs="Arial" w:eastAsia="Arial" w:hAnsi="Arial"/>
                <w:sz w:val="18"/>
                <w:szCs w:val="18"/>
              </w:rPr>
              <w:t xml:space="preserve">Where the operator cannot see the money directly, what does the provider certify?</w:t>
            </w:r>
          </w:p>
        </w:tc>
      </w:tr>
      <w:tr>
        <w:trPr>
          <w:cantSplit w:val="false"/>
        </w:trPr>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R12</w:t>
            </w:r>
          </w:p>
        </w:tc>
        <w:tc>
          <w:tcPr>
            <w:tcW w:type="dxa" w:w="26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Report Reference</w:t>
            </w:r>
          </w:p>
        </w:tc>
        <w:tc>
          <w:tcPr>
            <w:tcW w:type="dxa" w:w="6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Which reports were filed elsewhere, triggered by which records, against which deadline?</w:t>
            </w:r>
          </w:p>
        </w:tc>
      </w:tr>
    </w:tbl>
    <w:p>
      <w:pPr>
        <w:pStyle w:val="Heading2"/>
        <w:spacing w:after="100" w:before="220"/>
      </w:pPr>
      <w:r>
        <w:rPr>
          <w:rFonts w:ascii="Arial" w:cs="Arial" w:eastAsia="Arial" w:hAnsi="Arial"/>
          <w:b/>
          <w:bCs/>
          <w:color w:val="2E5496"/>
          <w:sz w:val="22"/>
          <w:szCs w:val="22"/>
        </w:rPr>
        <w:t xml:space="preserve">4.1 R1 Funds Location</w:t>
      </w:r>
    </w:p>
    <w:p>
      <w:pPr>
        <w:spacing w:after="120" w:line="264"/>
      </w:pPr>
      <w:r>
        <w:rPr>
          <w:rFonts w:ascii="Arial" w:cs="Arial" w:eastAsia="Arial" w:hAnsi="Arial"/>
          <w:sz w:val="20"/>
          <w:szCs w:val="20"/>
        </w:rPr>
        <w:t xml:space="preserve">Every place the operator holds money, in any form. This is the record that answers segregation and protection requirements.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500"/>
        <w:gridCol w:w="1500"/>
        <w:gridCol w:w="700"/>
        <w:gridCol w:w="5046"/>
      </w:tblGrid>
      <w:tr>
        <w:trPr>
          <w:tblHeader/>
        </w:trPr>
        <w:tc>
          <w:tcPr>
            <w:tcW w:type="dxa" w:w="25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Field</w:t>
            </w:r>
          </w:p>
        </w:tc>
        <w:tc>
          <w:tcPr>
            <w:tcW w:type="dxa" w:w="15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Type</w:t>
            </w:r>
          </w:p>
        </w:tc>
        <w:tc>
          <w:tcPr>
            <w:tcW w:type="dxa" w:w="7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Req.</w:t>
            </w:r>
          </w:p>
        </w:tc>
        <w:tc>
          <w:tcPr>
            <w:tcW w:type="dxa" w:w="50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Purpose</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location_id</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Stable internal identifier</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location_type</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bank_account | provider_balance | mobile_money_collection | emoney_account | crypto_wallet | cash_float</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purpose_class</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player_funds | operational | treasury | tax_withheld | reserve_or_guarantee</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provider_id</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Institution holding the location, from R10</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identifier_masked</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Masked account number, paybill or short code, or wallet address</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currency_or_asset</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ISO 4217 code or asset identifier</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protection_mechanism</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segregated_account | trust | separate_estate | guarantee | reserve | none</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custody_model</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direct | omnibus_at_provider | hybrid — selects the reconciliation profile (§4.7)</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controlling_entity</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Legal entity that controls the location</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location_jurisdiction</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Country where the funds are held, for location rules</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opened_at / closed_at</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datetime</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M/C</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Lifecycle of the location in the inventory</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ownership_evidence_ref</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Reference to the proof of control held on file</w:t>
            </w:r>
          </w:p>
        </w:tc>
      </w:tr>
    </w:tbl>
    <w:p>
      <w:pPr>
        <w:pStyle w:val="Heading2"/>
        <w:spacing w:after="100" w:before="220"/>
      </w:pPr>
      <w:r>
        <w:rPr>
          <w:rFonts w:ascii="Arial" w:cs="Arial" w:eastAsia="Arial" w:hAnsi="Arial"/>
          <w:b/>
          <w:bCs/>
          <w:color w:val="2E5496"/>
          <w:sz w:val="22"/>
          <w:szCs w:val="22"/>
        </w:rPr>
        <w:t xml:space="preserve">4.2 R2 Payment Instrument Link</w:t>
      </w:r>
    </w:p>
    <w:p>
      <w:pPr>
        <w:spacing w:after="120" w:line="264"/>
      </w:pPr>
      <w:r>
        <w:rPr>
          <w:rFonts w:ascii="Arial" w:cs="Arial" w:eastAsia="Arial" w:hAnsi="Arial"/>
          <w:sz w:val="20"/>
          <w:szCs w:val="20"/>
        </w:rPr>
        <w:t xml:space="preserve">The link between a player and a payment instrument: whose it is, how that was established, and whether payouts may go to it. R2 is submitted as the full register at period end — every link ever made, including revoked ones with their status — and a player is identified by the pair player_ref_scope and player_ref, so that the same reference in two brands is never merged.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500"/>
        <w:gridCol w:w="1500"/>
        <w:gridCol w:w="700"/>
        <w:gridCol w:w="5046"/>
      </w:tblGrid>
      <w:tr>
        <w:trPr>
          <w:tblHeader/>
        </w:trPr>
        <w:tc>
          <w:tcPr>
            <w:tcW w:type="dxa" w:w="25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Field</w:t>
            </w:r>
          </w:p>
        </w:tc>
        <w:tc>
          <w:tcPr>
            <w:tcW w:type="dxa" w:w="15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Type</w:t>
            </w:r>
          </w:p>
        </w:tc>
        <w:tc>
          <w:tcPr>
            <w:tcW w:type="dxa" w:w="7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Req.</w:t>
            </w:r>
          </w:p>
        </w:tc>
        <w:tc>
          <w:tcPr>
            <w:tcW w:type="dxa" w:w="50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Purpose</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instrument_id</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Stable, tokenised identifier</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player_ref / player_ref_scope</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Pseudonymous player reference, and the brand or licence it belongs to</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rail</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card | bank_transfer | emoney | mobile_money | carrier_billing | voucher | cash | virtual_asset</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instrument_detail</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object</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Rail-module fields (§6): masked card, masked account number, instant-payment key type, hashed phone number, wallet address</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funding_type</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C</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debit | credit | prepaid | deferred | invoice | bnpl | unknown — needed wherever credit in any form is prohibited</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issuer_country</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Country of the institution that issued the instrument — needed wherever only domestic instruments are permitted</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holder_match</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match | partial | no_match | not_checked | not_available</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holder_verification_method</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issuer_check | bank_name_check | open_banking | instant_payment_directory | mobile_operator_kyc | signed_message | micro_transfer | provider_attestation | document</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verified_at / verified_by</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datetime / string</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C</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When and by whom</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national_id_match</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match | no_match | not_checked — where accounts must be held under the player’s national identifier</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payout_status</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not_eligible | pending | active | revoked</w:t>
            </w:r>
          </w:p>
        </w:tc>
      </w:tr>
    </w:tbl>
    <w:p>
      <w:pPr>
        <w:pStyle w:val="Heading2"/>
        <w:spacing w:after="100" w:before="220"/>
      </w:pPr>
      <w:r>
        <w:rPr>
          <w:rFonts w:ascii="Arial" w:cs="Arial" w:eastAsia="Arial" w:hAnsi="Arial"/>
          <w:b/>
          <w:bCs/>
          <w:color w:val="2E5496"/>
          <w:sz w:val="22"/>
          <w:szCs w:val="22"/>
        </w:rPr>
        <w:t xml:space="preserve">4.3 R3 Deposit and 4.4 R4 Withdrawal</w:t>
      </w:r>
    </w:p>
    <w:p>
      <w:pPr>
        <w:spacing w:after="120" w:line="264"/>
      </w:pPr>
      <w:r>
        <w:rPr>
          <w:rFonts w:ascii="Arial" w:cs="Arial" w:eastAsia="Arial" w:hAnsi="Arial"/>
          <w:sz w:val="20"/>
          <w:szCs w:val="20"/>
        </w:rPr>
        <w:t xml:space="preserve">The two records that carry the money. Both reference the instrument, the checks relied upon and the ledger entry, so that the payment, the decision and the player balance can be tied together without further enquiry.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500"/>
        <w:gridCol w:w="1500"/>
        <w:gridCol w:w="700"/>
        <w:gridCol w:w="5046"/>
      </w:tblGrid>
      <w:tr>
        <w:trPr>
          <w:tblHeader/>
        </w:trPr>
        <w:tc>
          <w:tcPr>
            <w:tcW w:type="dxa" w:w="25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Field</w:t>
            </w:r>
          </w:p>
        </w:tc>
        <w:tc>
          <w:tcPr>
            <w:tcW w:type="dxa" w:w="15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Type</w:t>
            </w:r>
          </w:p>
        </w:tc>
        <w:tc>
          <w:tcPr>
            <w:tcW w:type="dxa" w:w="7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Req.</w:t>
            </w:r>
          </w:p>
        </w:tc>
        <w:tc>
          <w:tcPr>
            <w:tcW w:type="dxa" w:w="50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Purpose</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tx_id</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Internal transaction identifier</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player_ref / player_ref_scope</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As in R2</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direction</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deposit | withdrawal</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rail / instrument_id</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enum / string</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Rail, and the R2 instrument used</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provider_id</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From R10</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rail_reference / rail_reference_type</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string / enum</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The identifier the rail itself issued: acquirer reference, end-to-end instant-payment ID, mobile operator receipt, voucher serial or transaction hash</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authority_reference</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C</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Identifier issued by an authority’s central system, where one exists</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amount / currency_or_asset</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decimal / string</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As transacted</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amount_reporting_ccy / fx_rate / fx_source</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decimal / string</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Value used for thresholds, with the rate and its source</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initiated_at / settled_at</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datetime</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When the payment was initiated, and when the rail settled it</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credited_at</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datetime</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When the player account was credited or debited — the moment that prior checks must precede</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account_currency / account_fx_rate</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string / decimal</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M/C</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Currency of the player account, and the rate applied where it differs from the payment currency</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credited_amount / ledger_entry_ref</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decimal / string</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Amount posted to the player account, in the account currency, and the ledger entry</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fees</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object</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Rail, provider and network fees charged to the player, separated</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operator_cost_reporting_ccy</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decimal</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O</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Rail or network costs borne by the operator, in the reporting currency</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tax_lines</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array</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Tax levied or withheld at this payment: type, rate, amount, authority, due date, remittance reference</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check_ids</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array</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R5 decisions in force at the moment of crediting or dispatch</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limit_check</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within_limit | blocked | reduced | not_applicable | not_recorded</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outcome</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accepted | rejected | frozen | returned | pending_review</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requested_at / paid_at</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datetime</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Withdrawals: measures payout time against the profile’s deadline</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destination_rule</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Withdrawals: same_instrument | same_holder_other_instrument | profile_route | exception — the closed-loop evidence</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source_instrument_ids</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array</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Withdrawals: deposit instruments the payout is matched to</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approved_by / approved_at</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string / datetime</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Withdrawals: the person or rule that released the payment</w:t>
            </w:r>
          </w:p>
        </w:tc>
      </w:tr>
    </w:tbl>
    <w:p>
      <w:pPr>
        <w:pStyle w:val="Heading2"/>
        <w:spacing w:after="100" w:before="220"/>
      </w:pPr>
      <w:r>
        <w:rPr>
          <w:rFonts w:ascii="Arial" w:cs="Arial" w:eastAsia="Arial" w:hAnsi="Arial"/>
          <w:b/>
          <w:bCs/>
          <w:color w:val="2E5496"/>
          <w:sz w:val="22"/>
          <w:szCs w:val="22"/>
        </w:rPr>
        <w:t xml:space="preserve">4.5 R5 Check Decision</w:t>
      </w:r>
    </w:p>
    <w:p>
      <w:pPr>
        <w:spacing w:after="120" w:line="264"/>
      </w:pPr>
      <w:r>
        <w:rPr>
          <w:rFonts w:ascii="Arial" w:cs="Arial" w:eastAsia="Arial" w:hAnsi="Arial"/>
          <w:sz w:val="20"/>
          <w:szCs w:val="20"/>
        </w:rPr>
        <w:t xml:space="preserve">Any control that runs before money moves, recorded in a common vocabulary so that outcomes remain comparable across providers and registers. The Standard does not prescribe scoring.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500"/>
        <w:gridCol w:w="1500"/>
        <w:gridCol w:w="700"/>
        <w:gridCol w:w="5046"/>
      </w:tblGrid>
      <w:tr>
        <w:trPr>
          <w:tblHeader/>
        </w:trPr>
        <w:tc>
          <w:tcPr>
            <w:tcW w:type="dxa" w:w="25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Field</w:t>
            </w:r>
          </w:p>
        </w:tc>
        <w:tc>
          <w:tcPr>
            <w:tcW w:type="dxa" w:w="15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Type</w:t>
            </w:r>
          </w:p>
        </w:tc>
        <w:tc>
          <w:tcPr>
            <w:tcW w:type="dxa" w:w="7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Req.</w:t>
            </w:r>
          </w:p>
        </w:tc>
        <w:tc>
          <w:tcPr>
            <w:tcW w:type="dxa" w:w="50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Purpose</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check_id</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Identifier</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subject_type / subject_ref</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enum / string</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player | instrument | transaction | address | provider</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check_type</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identity | biometric | holder_match | sanctions | pep | eligibility_register | self_exclusion | limit | cross_operator_limit | credit_register | source_of_funds | financial_risk | fraud | blockchain_analytics | travel_rule</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register_or_provider / version</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The register, list or provider consulted</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performed_by_party</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operator | provider | authority_system | other</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performed_at</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datetime</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Must precede crediting or dispatch wherever the profile requires a prior check</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result_class</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clear | low | medium | high | prohibited | match | no_match | error</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decision</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allow | step_up | block | freeze | return | refer</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decided_by</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enum</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automated | analyst</w:t>
            </w:r>
          </w:p>
        </w:tc>
      </w:tr>
      <w:tr>
        <w:trPr>
          <w:cantSplit w:val="false"/>
        </w:trPr>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supersedes</w:t>
            </w:r>
          </w:p>
        </w:tc>
        <w:tc>
          <w:tcPr>
            <w:tcW w:type="dxa" w:w="1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Earlier decision this one replaces, for example a step-up followed by allow</w:t>
            </w:r>
          </w:p>
        </w:tc>
      </w:tr>
      <w:tr>
        <w:trPr>
          <w:cantSplit w:val="false"/>
        </w:trPr>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evidence_ref</w:t>
            </w:r>
          </w:p>
        </w:tc>
        <w:tc>
          <w:tcPr>
            <w:tcW w:type="dxa" w:w="1500"/>
            <w:tcMar>
              <w:top w:type="dxa" w:w="50"/>
              <w:left w:type="dxa" w:w="80"/>
              <w:bottom w:type="dxa" w:w="50"/>
              <w:right w:type="dxa" w:w="80"/>
            </w:tcMar>
          </w:tcPr>
          <w:p>
            <w:pPr>
              <w:spacing w:after="0" w:line="230"/>
            </w:pPr>
            <w:r>
              <w:rPr>
                <w:rFonts w:ascii="Arial" w:cs="Arial" w:eastAsia="Arial" w:hAnsi="Arial"/>
                <w:sz w:val="18"/>
                <w:szCs w:val="18"/>
              </w:rPr>
              <w:t xml:space="preserve">string</w:t>
            </w:r>
          </w:p>
        </w:tc>
        <w:tc>
          <w:tcPr>
            <w:tcW w:type="dxa" w:w="700"/>
            <w:tcMar>
              <w:top w:type="dxa" w:w="50"/>
              <w:left w:type="dxa" w:w="80"/>
              <w:bottom w:type="dxa" w:w="50"/>
              <w:right w:type="dxa" w:w="80"/>
            </w:tcMar>
          </w:tcPr>
          <w:p>
            <w:pPr>
              <w:spacing w:after="0" w:line="230"/>
            </w:pPr>
            <w:r>
              <w:rPr>
                <w:rFonts w:ascii="Arial" w:cs="Arial" w:eastAsia="Arial" w:hAnsi="Arial"/>
                <w:sz w:val="18"/>
                <w:szCs w:val="18"/>
              </w:rPr>
              <w:t xml:space="preserve">M</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Where the underlying report is retained</w:t>
            </w:r>
          </w:p>
        </w:tc>
      </w:tr>
    </w:tbl>
    <w:p>
      <w:pPr>
        <w:pStyle w:val="Heading2"/>
        <w:spacing w:after="100" w:before="220"/>
      </w:pPr>
      <w:r>
        <w:rPr>
          <w:rFonts w:ascii="Arial" w:cs="Arial" w:eastAsia="Arial" w:hAnsi="Arial"/>
          <w:b/>
          <w:bCs/>
          <w:color w:val="2E5496"/>
          <w:sz w:val="22"/>
          <w:szCs w:val="22"/>
        </w:rPr>
        <w:t xml:space="preserve">4.6 R6 Internal Movement</w:t>
      </w:r>
    </w:p>
    <w:p>
      <w:pPr>
        <w:spacing w:after="120" w:line="264"/>
      </w:pPr>
      <w:r>
        <w:rPr>
          <w:rFonts w:ascii="Arial" w:cs="Arial" w:eastAsia="Arial" w:hAnsi="Arial"/>
          <w:sz w:val="20"/>
          <w:szCs w:val="20"/>
        </w:rPr>
        <w:t xml:space="preserve">Movements between the operator’s own funds locations — settlement from a provider to a bank, sweeps, tax remittance accounts — which is where segregation either holds or breaks. Fields: movement identifier; source and destination locations, at least one of which must exist in R1 — the other may be a provider from R10, such as an exchange or a settlement account; purpose (settlement | sweep | liquidity | conversion | tax_remittance | correction); whether the movement crosses purpose classes, with a justification where it does; approver and time; rail reference; amount and fees.</w:t>
      </w:r>
    </w:p>
    <w:p>
      <w:pPr>
        <w:pStyle w:val="Heading2"/>
        <w:spacing w:after="100" w:before="220"/>
      </w:pPr>
      <w:r>
        <w:rPr>
          <w:rFonts w:ascii="Arial" w:cs="Arial" w:eastAsia="Arial" w:hAnsi="Arial"/>
          <w:b/>
          <w:bCs/>
          <w:color w:val="2E5496"/>
          <w:sz w:val="22"/>
          <w:szCs w:val="22"/>
        </w:rPr>
        <w:t xml:space="preserve">4.7 R7 Reconciliation Statement</w:t>
      </w:r>
    </w:p>
    <w:p>
      <w:pPr>
        <w:spacing w:after="120" w:line="264"/>
      </w:pPr>
      <w:r>
        <w:rPr>
          <w:rFonts w:ascii="Arial" w:cs="Arial" w:eastAsia="Arial" w:hAnsi="Arial"/>
          <w:sz w:val="20"/>
          <w:szCs w:val="20"/>
        </w:rPr>
        <w:t xml:space="preserve">Two kinds of statement turn reconciliation from a claim into a number.</w:t>
      </w:r>
    </w:p>
    <w:p>
      <w:pPr>
        <w:pStyle w:val="ListParagraph"/>
        <w:numPr>
          <w:ilvl w:val="0"/>
          <w:numId w:val="2"/>
        </w:numPr>
        <w:spacing w:after="60" w:line="264"/>
      </w:pPr>
      <w:r>
        <w:rPr>
          <w:rFonts w:ascii="Arial" w:cs="Arial" w:eastAsia="Arial" w:hAnsi="Arial"/>
          <w:sz w:val="20"/>
          <w:szCs w:val="20"/>
        </w:rPr>
        <w:t xml:space="preserve">Location statement — one per funds location per period. Opening and closing balances from the external source (bank statement, provider settlement report, mobile operator statement or chain) and from the ledger, plus the provider’s own reported balances where the custody model is omnibus; inflows, outflows and fees; the unexplained delta, stated rather than hidden; exceptions raised; preparer and reviewer.</w:t>
      </w:r>
    </w:p>
    <w:p>
      <w:pPr>
        <w:pStyle w:val="ListParagraph"/>
        <w:numPr>
          <w:ilvl w:val="0"/>
          <w:numId w:val="2"/>
        </w:numPr>
        <w:spacing w:after="60" w:line="264"/>
      </w:pPr>
      <w:r>
        <w:rPr>
          <w:rFonts w:ascii="Arial" w:cs="Arial" w:eastAsia="Arial" w:hAnsi="Arial"/>
          <w:sz w:val="20"/>
          <w:szCs w:val="20"/>
        </w:rPr>
        <w:t xml:space="preserve">Coverage statement — one per licence per period, or per day where the profile requires. Player balances, pending withdrawals and, where the profile counts them, open bets, giving total player liabilities; funds held against them by protection mechanism; funds in transit; any shortfall, and when it was cured.</w:t>
      </w:r>
    </w:p>
    <w:p>
      <w:pPr>
        <w:spacing w:after="120" w:line="264"/>
      </w:pPr>
      <w:r>
        <w:rPr>
          <w:rFonts w:ascii="Arial" w:cs="Arial" w:eastAsia="Arial" w:hAnsi="Arial"/>
          <w:sz w:val="20"/>
          <w:szCs w:val="20"/>
        </w:rPr>
        <w:t xml:space="preserve">The custody model declared in R1 selects the reconciliation profile. Applying a direct-custody profile to a pooled arrangement produces an exception on every transaction and tells the reader nothing.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700"/>
        <w:gridCol w:w="3300"/>
        <w:gridCol w:w="3746"/>
      </w:tblGrid>
      <w:tr>
        <w:trPr>
          <w:tblHeader/>
        </w:trPr>
        <w:tc>
          <w:tcPr>
            <w:tcW w:type="dxa" w:w="27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Custody model</w:t>
            </w:r>
          </w:p>
        </w:tc>
        <w:tc>
          <w:tcPr>
            <w:tcW w:type="dxa" w:w="33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What the operator can evidence</w:t>
            </w:r>
          </w:p>
        </w:tc>
        <w:tc>
          <w:tcPr>
            <w:tcW w:type="dxa" w:w="37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Reconciliation profile</w:t>
            </w:r>
          </w:p>
        </w:tc>
      </w:tr>
      <w:tr>
        <w:trPr>
          <w:cantSplit w:val="false"/>
        </w:trPr>
        <w:tc>
          <w:tcPr>
            <w:tcW w:type="dxa" w:w="2700"/>
            <w:tcMar>
              <w:top w:type="dxa" w:w="50"/>
              <w:left w:type="dxa" w:w="80"/>
              <w:bottom w:type="dxa" w:w="50"/>
              <w:right w:type="dxa" w:w="80"/>
            </w:tcMar>
          </w:tcPr>
          <w:p>
            <w:pPr>
              <w:spacing w:after="0" w:line="230"/>
            </w:pPr>
            <w:r>
              <w:rPr>
                <w:rFonts w:ascii="Arial" w:cs="Arial" w:eastAsia="Arial" w:hAnsi="Arial"/>
                <w:sz w:val="18"/>
                <w:szCs w:val="18"/>
              </w:rPr>
              <w:t xml:space="preserve">Direct — the operator holds the account, wallet or float</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Every payment exists in an external statement against a location in R1</w:t>
            </w:r>
          </w:p>
        </w:tc>
        <w:tc>
          <w:tcPr>
            <w:tcW w:type="dxa" w:w="3746"/>
            <w:tcMar>
              <w:top w:type="dxa" w:w="50"/>
              <w:left w:type="dxa" w:w="80"/>
              <w:bottom w:type="dxa" w:w="50"/>
              <w:right w:type="dxa" w:w="80"/>
            </w:tcMar>
          </w:tcPr>
          <w:p>
            <w:pPr>
              <w:spacing w:after="0" w:line="230"/>
            </w:pPr>
            <w:r>
              <w:rPr>
                <w:rFonts w:ascii="Arial" w:cs="Arial" w:eastAsia="Arial" w:hAnsi="Arial"/>
                <w:sz w:val="18"/>
                <w:szCs w:val="18"/>
              </w:rPr>
              <w:t xml:space="preserve">Statement against ledger, per location and per period; the unexplained delta is the residual</w:t>
            </w:r>
          </w:p>
        </w:tc>
      </w:tr>
      <w:tr>
        <w:trPr>
          <w:cantSplit w:val="false"/>
        </w:trPr>
        <w:tc>
          <w:tcPr>
            <w:tcW w:type="dxa" w:w="2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Omnibus at a provider — player money sits in a payment provider’s, mobile money operator’s or virtual-asset provider’s pooled account</w:t>
            </w:r>
          </w:p>
        </w:tc>
        <w:tc>
          <w:tcPr>
            <w:tcW w:type="dxa" w:w="3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Provider records and references; the provider’s own balance in aggregate</w:t>
            </w:r>
          </w:p>
        </w:tc>
        <w:tc>
          <w:tcPr>
            <w:tcW w:type="dxa" w:w="37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Two loops: ledger against provider records by reference, and provider balance against the R11 attestation</w:t>
            </w:r>
          </w:p>
        </w:tc>
      </w:tr>
      <w:tr>
        <w:trPr>
          <w:cantSplit w:val="false"/>
        </w:trPr>
        <w:tc>
          <w:tcPr>
            <w:tcW w:type="dxa" w:w="2700"/>
            <w:tcMar>
              <w:top w:type="dxa" w:w="50"/>
              <w:left w:type="dxa" w:w="80"/>
              <w:bottom w:type="dxa" w:w="50"/>
              <w:right w:type="dxa" w:w="80"/>
            </w:tcMar>
          </w:tcPr>
          <w:p>
            <w:pPr>
              <w:spacing w:after="0" w:line="230"/>
            </w:pPr>
            <w:r>
              <w:rPr>
                <w:rFonts w:ascii="Arial" w:cs="Arial" w:eastAsia="Arial" w:hAnsi="Arial"/>
                <w:sz w:val="18"/>
                <w:szCs w:val="18"/>
              </w:rPr>
              <w:t xml:space="preserve">Hybrid — collection through a provider, funds then swept to the operator</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Both of the above, on different locations</w:t>
            </w:r>
          </w:p>
        </w:tc>
        <w:tc>
          <w:tcPr>
            <w:tcW w:type="dxa" w:w="3746"/>
            <w:tcMar>
              <w:top w:type="dxa" w:w="50"/>
              <w:left w:type="dxa" w:w="80"/>
              <w:bottom w:type="dxa" w:w="50"/>
              <w:right w:type="dxa" w:w="80"/>
            </w:tcMar>
          </w:tcPr>
          <w:p>
            <w:pPr>
              <w:spacing w:after="0" w:line="230"/>
            </w:pPr>
            <w:r>
              <w:rPr>
                <w:rFonts w:ascii="Arial" w:cs="Arial" w:eastAsia="Arial" w:hAnsi="Arial"/>
                <w:sz w:val="18"/>
                <w:szCs w:val="18"/>
              </w:rPr>
              <w:t xml:space="preserve">Applied per location; the package carries both</w:t>
            </w:r>
          </w:p>
        </w:tc>
      </w:tr>
    </w:tbl>
    <w:p>
      <w:pPr>
        <w:pStyle w:val="Heading2"/>
        <w:spacing w:after="100" w:before="220"/>
      </w:pPr>
      <w:r>
        <w:rPr>
          <w:rFonts w:ascii="Arial" w:cs="Arial" w:eastAsia="Arial" w:hAnsi="Arial"/>
          <w:b/>
          <w:bCs/>
          <w:color w:val="2E5496"/>
          <w:sz w:val="22"/>
          <w:szCs w:val="22"/>
        </w:rPr>
        <w:t xml:space="preserve">4.8 R8 Exception</w:t>
      </w:r>
    </w:p>
    <w:p>
      <w:pPr>
        <w:spacing w:after="120" w:line="264"/>
      </w:pPr>
      <w:r>
        <w:rPr>
          <w:rFonts w:ascii="Arial" w:cs="Arial" w:eastAsia="Arial" w:hAnsi="Arial"/>
          <w:sz w:val="20"/>
          <w:szCs w:val="20"/>
        </w:rPr>
        <w:t xml:space="preserve">Anything the operator could not explain, in a common vocabulary, with a value, an age and an owner. A supervisor rarely needs the whole ledger, but always needs the list of things that did not reconcile. Fields: identifier, category, when and by what process it was raised, related records, amount, status (open | under_review | resolved | accepted_risk), age in days, resolution, owner.</w:t>
      </w:r>
    </w:p>
    <w:p>
      <w:pPr>
        <w:spacing w:after="120" w:line="264"/>
      </w:pPr>
      <w:r>
        <w:rPr>
          <w:rFonts w:ascii="Arial" w:cs="Arial" w:eastAsia="Arial" w:hAnsi="Arial"/>
          <w:sz w:val="20"/>
          <w:szCs w:val="20"/>
        </w:rPr>
        <w:t xml:space="preserve">Categories are drawn from a closed list, which includes at least: external movement without a ledger entry; ledger entry without an external movement; amount mismatch; check missing or performed after crediting; payout to an instrument not eligible for payouts; payout outside the closed-loop rule without justification; holder mismatch; credit-funded instrument where credit is prohibited; payout later than the profile deadline; movement across purpose classes without justification; location outside the inventory; provider without due diligence or authorisation; coverage shortfall; tax withheld but not remitted by its due date.</w:t>
      </w:r>
    </w:p>
    <w:p>
      <w:pPr>
        <w:pStyle w:val="Heading2"/>
        <w:spacing w:after="100" w:before="220"/>
      </w:pPr>
      <w:r>
        <w:rPr>
          <w:rFonts w:ascii="Arial" w:cs="Arial" w:eastAsia="Arial" w:hAnsi="Arial"/>
          <w:b/>
          <w:bCs/>
          <w:color w:val="2E5496"/>
          <w:sz w:val="22"/>
          <w:szCs w:val="22"/>
        </w:rPr>
        <w:t xml:space="preserve">4.9 R9 Incident and 4.10 R10 Provider Register</w:t>
      </w:r>
    </w:p>
    <w:p>
      <w:pPr>
        <w:spacing w:after="120" w:line="264"/>
      </w:pPr>
      <w:r>
        <w:rPr>
          <w:rFonts w:ascii="Arial" w:cs="Arial" w:eastAsia="Arial" w:hAnsi="Arial"/>
          <w:sz w:val="20"/>
          <w:szCs w:val="20"/>
        </w:rPr>
        <w:t xml:space="preserve">R9 carries events an authority must be told about, with the deadline clock set by the profile: incident identifier, category, detected and notified times, the deadline that applied, the authority and channel used, related records and status.</w:t>
      </w:r>
    </w:p>
    <w:p>
      <w:pPr>
        <w:spacing w:after="120" w:line="264"/>
      </w:pPr>
      <w:r>
        <w:rPr>
          <w:rFonts w:ascii="Arial" w:cs="Arial" w:eastAsia="Arial" w:hAnsi="Arial"/>
          <w:sz w:val="20"/>
          <w:szCs w:val="20"/>
        </w:rPr>
        <w:t xml:space="preserve">R10 records each provider that handles player money — acquirer, bank, payment service provider, e-money institution, mobile money operator, voucher issuer, virtual-asset service provider or cash agent — with the authority that authorised it and the licence reference, whether the gambling regulator was notified of or approved it where the profile requires, the dates of due diligence and next review, where its data is held, and, for virtual-asset providers, Travel Rule capability.</w:t>
      </w:r>
    </w:p>
    <w:p>
      <w:pPr>
        <w:pStyle w:val="Heading2"/>
        <w:spacing w:after="100" w:before="220"/>
      </w:pPr>
      <w:r>
        <w:rPr>
          <w:rFonts w:ascii="Arial" w:cs="Arial" w:eastAsia="Arial" w:hAnsi="Arial"/>
          <w:b/>
          <w:bCs/>
          <w:color w:val="2E5496"/>
          <w:sz w:val="22"/>
          <w:szCs w:val="22"/>
        </w:rPr>
        <w:t xml:space="preserve">4.11 R11 Provider Attestation</w:t>
      </w:r>
    </w:p>
    <w:p>
      <w:pPr>
        <w:spacing w:after="120" w:line="264"/>
      </w:pPr>
      <w:r>
        <w:rPr>
          <w:rFonts w:ascii="Arial" w:cs="Arial" w:eastAsia="Arial" w:hAnsi="Arial"/>
          <w:sz w:val="20"/>
          <w:szCs w:val="20"/>
        </w:rPr>
        <w:t xml:space="preserve">Where money sits in a provider’s pooled account, the operator cannot evidence individual movements from its own statements. R11 is the provider’s statement standing in their place: the period covered, the balance held for the operator, totals credited and debited, the reference scheme that links the provider’s records to the operator’s, and a signature. It applies equally to a card acquirer’s reserve, a mobile money collection account, an e-money balance and a virtual-asset provider’s pooled wallet. An operator whose provider will not supply R11 has not failed this Standard; it has discovered a control it cannot evidence, and reporting that plainly is more useful than reporting a reconciliation that was never possible.</w:t>
      </w:r>
    </w:p>
    <w:p>
      <w:pPr>
        <w:pStyle w:val="Heading2"/>
        <w:spacing w:after="100" w:before="220"/>
      </w:pPr>
      <w:r>
        <w:rPr>
          <w:rFonts w:ascii="Arial" w:cs="Arial" w:eastAsia="Arial" w:hAnsi="Arial"/>
          <w:b/>
          <w:bCs/>
          <w:color w:val="2E5496"/>
          <w:sz w:val="22"/>
          <w:szCs w:val="22"/>
        </w:rPr>
        <w:t xml:space="preserve">4.12 R12 Report Reference</w:t>
      </w:r>
    </w:p>
    <w:p>
      <w:pPr>
        <w:spacing w:after="120" w:line="264"/>
      </w:pPr>
      <w:r>
        <w:rPr>
          <w:rFonts w:ascii="Arial" w:cs="Arial" w:eastAsia="Arial" w:hAnsi="Arial"/>
          <w:sz w:val="20"/>
          <w:szCs w:val="20"/>
        </w:rPr>
        <w:t xml:space="preserve">A link between CTRES records and reports filed with other authorities: suspicious transaction reports, cash and virtual-currency threshold reports, casino disbursement reports, periodic systematic reports, tax remittances and regulator notifications. Fields: reference identifier; report type; destination authority; channel (goAML, a national reporting API, a regulator portal or other); the profile rule that triggered it; related records; deadline; time filed; the receipt the destination issued.</w:t>
      </w:r>
    </w:p>
    <w:p>
      <w:pPr>
        <w:spacing w:after="120" w:line="264"/>
      </w:pPr>
      <w:r>
        <w:rPr>
          <w:rFonts w:ascii="Arial" w:cs="Arial" w:eastAsia="Arial" w:hAnsi="Arial"/>
          <w:sz w:val="20"/>
          <w:szCs w:val="20"/>
        </w:rPr>
        <w:t xml:space="preserve">R12 never carries the content of a suspicious transaction report. Where tipping-off and confidentiality rules apply, R12 is held by the operator and disclosed only to an authority entitled by law to see it; periodic packages then carry counts and timeliness only.</w:t>
      </w:r>
    </w:p>
    <w:p>
      <w:pPr>
        <w:pStyle w:val="Heading1"/>
        <w:spacing w:after="140" w:before="320"/>
      </w:pPr>
      <w:r>
        <w:rPr>
          <w:rFonts w:ascii="Arial" w:cs="Arial" w:eastAsia="Arial" w:hAnsi="Arial"/>
          <w:b/>
          <w:bCs/>
          <w:color w:val="1F3864"/>
          <w:sz w:val="28"/>
          <w:szCs w:val="28"/>
        </w:rPr>
        <w:t xml:space="preserve">5. Jurisdiction profiles</w:t>
      </w:r>
    </w:p>
    <w:p>
      <w:pPr>
        <w:spacing w:after="120" w:line="264"/>
      </w:pPr>
      <w:r>
        <w:rPr>
          <w:rFonts w:ascii="Arial" w:cs="Arial" w:eastAsia="Arial" w:hAnsi="Arial"/>
          <w:sz w:val="20"/>
          <w:szCs w:val="20"/>
        </w:rPr>
        <w:t xml:space="preserve">A profile is a short configuration, in the machine-readable structure defined by the schema (Annex A), that turns the neutral record model into one authority’s rule set. It contains parameters only and never adds fields. The table lists the parameters, with examples drawn from the profiles in Annex B.</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900"/>
        <w:gridCol w:w="6846"/>
      </w:tblGrid>
      <w:tr>
        <w:trPr>
          <w:tblHeader/>
        </w:trPr>
        <w:tc>
          <w:tcPr>
            <w:tcW w:type="dxa" w:w="29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Parameter</w:t>
            </w:r>
          </w:p>
        </w:tc>
        <w:tc>
          <w:tcPr>
            <w:tcW w:type="dxa" w:w="68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Examples from Annex B</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Permitted rails and instrument types</w:t>
            </w:r>
          </w:p>
        </w:tc>
        <w:tc>
          <w:tcPr>
            <w:tcW w:type="dxa" w:w="6846"/>
            <w:tcMar>
              <w:top w:type="dxa" w:w="50"/>
              <w:left w:type="dxa" w:w="80"/>
              <w:bottom w:type="dxa" w:w="50"/>
              <w:right w:type="dxa" w:w="80"/>
            </w:tcMar>
          </w:tcPr>
          <w:p>
            <w:pPr>
              <w:spacing w:after="0" w:line="230"/>
            </w:pPr>
            <w:r>
              <w:rPr>
                <w:rFonts w:ascii="Arial" w:cs="Arial" w:eastAsia="Arial" w:hAnsi="Arial"/>
                <w:sz w:val="18"/>
                <w:szCs w:val="18"/>
              </w:rPr>
              <w:t xml:space="preserve">Credit cards prohibited (United Kingdom, Ireland, Belgium, Brazil); credit in any form, including invoice and buy-now-pay-later (Sweden); virtual assets permitted with conditions (Malta, Isle of Man, Curaçao, Estonia) or not accepted (Italy, Greece, Germany, Brazil, Peru, Ontario)</w:t>
            </w:r>
          </w:p>
        </w:tc>
      </w:tr>
      <w:tr>
        <w:trPr>
          <w:cantSplit w:val="false"/>
        </w:trPr>
        <w:tc>
          <w:tcPr>
            <w:tcW w:type="dxa" w:w="2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Holder and ownership rules</w:t>
            </w:r>
          </w:p>
        </w:tc>
        <w:tc>
          <w:tcPr>
            <w:tcW w:type="dxa" w:w="68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Instruments in the player’s name (Italy, Greece, Brazil, Buenos Aires Province); ownership confirmed above set amounts (Greece: deposits from €5,000, withdrawals from €800)</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Closed loop and payout routing</w:t>
            </w:r>
          </w:p>
        </w:tc>
        <w:tc>
          <w:tcPr>
            <w:tcW w:type="dxa" w:w="6846"/>
            <w:tcMar>
              <w:top w:type="dxa" w:w="50"/>
              <w:left w:type="dxa" w:w="80"/>
              <w:bottom w:type="dxa" w:w="50"/>
              <w:right w:type="dxa" w:w="80"/>
            </w:tcMar>
          </w:tcPr>
          <w:p>
            <w:pPr>
              <w:spacing w:after="0" w:line="230"/>
            </w:pPr>
            <w:r>
              <w:rPr>
                <w:rFonts w:ascii="Arial" w:cs="Arial" w:eastAsia="Arial" w:hAnsi="Arial"/>
                <w:sz w:val="18"/>
                <w:szCs w:val="18"/>
              </w:rPr>
              <w:t xml:space="preserve">Withdrawal to the account used to deposit (Buenos Aires Province; planned in Ireland); payout route set by amount (Kenya)</w:t>
            </w:r>
          </w:p>
        </w:tc>
      </w:tr>
      <w:tr>
        <w:trPr>
          <w:cantSplit w:val="false"/>
        </w:trPr>
        <w:tc>
          <w:tcPr>
            <w:tcW w:type="dxa" w:w="2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Check thresholds and aggregation windows</w:t>
            </w:r>
          </w:p>
        </w:tc>
        <w:tc>
          <w:tcPr>
            <w:tcW w:type="dxa" w:w="68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€2,000 (most EU jurisdictions), €3,000 over 30 days (Isle of Man), NAf 4,000 (Curaçao), AED 11,000 (United Arab Emirates); rolling 180 days (Malta); fixed 24-hour window (Canada); gaming day (United States, Curaçao); lifetime deposits (Alderney); indexed units (Mexico, Peru, Argentina)</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Report triggers and deadlines</w:t>
            </w:r>
          </w:p>
        </w:tc>
        <w:tc>
          <w:tcPr>
            <w:tcW w:type="dxa" w:w="6846"/>
            <w:tcMar>
              <w:top w:type="dxa" w:w="50"/>
              <w:left w:type="dxa" w:w="80"/>
              <w:bottom w:type="dxa" w:w="50"/>
              <w:right w:type="dxa" w:w="80"/>
            </w:tcMar>
          </w:tcPr>
          <w:p>
            <w:pPr>
              <w:spacing w:after="0" w:line="230"/>
            </w:pPr>
            <w:r>
              <w:rPr>
                <w:rFonts w:ascii="Arial" w:cs="Arial" w:eastAsia="Arial" w:hAnsi="Arial"/>
                <w:sz w:val="18"/>
                <w:szCs w:val="18"/>
              </w:rPr>
              <w:t xml:space="preserve">Cash from R49,999.99 within 3 days (South Africa); from C$10,000 under the 24-hour rule (Canada); suspicious reports from 24 hours (Nigeria) to 15 days (South Africa)</w:t>
            </w:r>
          </w:p>
        </w:tc>
      </w:tr>
      <w:tr>
        <w:trPr>
          <w:cantSplit w:val="false"/>
        </w:trPr>
        <w:tc>
          <w:tcPr>
            <w:tcW w:type="dxa" w:w="2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Payout time limits</w:t>
            </w:r>
          </w:p>
        </w:tc>
        <w:tc>
          <w:tcPr>
            <w:tcW w:type="dxa" w:w="68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120 minutes (Brazil); 48 hours (Buenos Aires Province); 5 working days (Malta, Gibraltar)</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Taxes at the point of payment</w:t>
            </w:r>
          </w:p>
        </w:tc>
        <w:tc>
          <w:tcPr>
            <w:tcW w:type="dxa" w:w="6846"/>
            <w:tcMar>
              <w:top w:type="dxa" w:w="50"/>
              <w:left w:type="dxa" w:w="80"/>
              <w:bottom w:type="dxa" w:w="50"/>
              <w:right w:type="dxa" w:w="80"/>
            </w:tcMar>
          </w:tcPr>
          <w:p>
            <w:pPr>
              <w:spacing w:after="0" w:line="230"/>
            </w:pPr>
            <w:r>
              <w:rPr>
                <w:rFonts w:ascii="Arial" w:cs="Arial" w:eastAsia="Arial" w:hAnsi="Arial"/>
                <w:sz w:val="18"/>
                <w:szCs w:val="18"/>
              </w:rPr>
              <w:t xml:space="preserve">Excise on deposits and withholding on winnings (Kenya); withholding on winnings (Malawi, Lagos, Uganda), at rates that differ by product (Tanzania); withholding on withdrawals (Georgia)</w:t>
            </w:r>
          </w:p>
        </w:tc>
      </w:tr>
      <w:tr>
        <w:trPr>
          <w:cantSplit w:val="false"/>
        </w:trPr>
        <w:tc>
          <w:tcPr>
            <w:tcW w:type="dxa" w:w="2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Player-funds protection and coverage</w:t>
            </w:r>
          </w:p>
        </w:tc>
        <w:tc>
          <w:tcPr>
            <w:tcW w:type="dxa" w:w="68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At least 90% of liabilities in the account plus funds in transit (Malta); shortfall cured within 3 business days (Greece); separate estate covering balances and open bets (Brazil)</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Submission mode and cadence</w:t>
            </w:r>
          </w:p>
        </w:tc>
        <w:tc>
          <w:tcPr>
            <w:tcW w:type="dxa" w:w="6846"/>
            <w:tcMar>
              <w:top w:type="dxa" w:w="50"/>
              <w:left w:type="dxa" w:w="80"/>
              <w:bottom w:type="dxa" w:w="50"/>
              <w:right w:type="dxa" w:w="80"/>
            </w:tcMar>
          </w:tcPr>
          <w:p>
            <w:pPr>
              <w:spacing w:after="0" w:line="230"/>
            </w:pPr>
            <w:r>
              <w:rPr>
                <w:rFonts w:ascii="Arial" w:cs="Arial" w:eastAsia="Arial" w:hAnsi="Arial"/>
                <w:sz w:val="18"/>
                <w:szCs w:val="18"/>
              </w:rPr>
              <w:t xml:space="preserve">Real-time central system (Italy, Greece, Bulgaria, Serbia, Kenya); hourly financial summaries (Portugal); daily and monthly files (Brazil, Spain); monthly player-funds report (Malta); quarterly returns (United Kingdom, Gibraltar)</w:t>
            </w:r>
          </w:p>
        </w:tc>
      </w:tr>
      <w:tr>
        <w:trPr>
          <w:cantSplit w:val="false"/>
        </w:trPr>
        <w:tc>
          <w:tcPr>
            <w:tcW w:type="dxa" w:w="2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Cross-operator limits and registers</w:t>
            </w:r>
          </w:p>
        </w:tc>
        <w:tc>
          <w:tcPr>
            <w:tcW w:type="dxa" w:w="68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Real-time query to a central limit file before each deposit (Germany: €1,000 a month); weekly cap per operator, raised only after a credit-register check (Belgium); per-player monthly limits in a state register (Kazakhstan, Uzbekistan)</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Eligibility screening at payment</w:t>
            </w:r>
          </w:p>
        </w:tc>
        <w:tc>
          <w:tcPr>
            <w:tcW w:type="dxa" w:w="6846"/>
            <w:tcMar>
              <w:top w:type="dxa" w:w="50"/>
              <w:left w:type="dxa" w:w="80"/>
              <w:bottom w:type="dxa" w:w="50"/>
              <w:right w:type="dxa" w:w="80"/>
            </w:tcMar>
          </w:tcPr>
          <w:p>
            <w:pPr>
              <w:spacing w:after="0" w:line="230"/>
            </w:pPr>
            <w:r>
              <w:rPr>
                <w:rFonts w:ascii="Arial" w:cs="Arial" w:eastAsia="Arial" w:hAnsi="Arial"/>
                <w:sz w:val="18"/>
                <w:szCs w:val="18"/>
              </w:rPr>
              <w:t xml:space="preserve">Self-exclusion registers (Denmark, Sweden, Netherlands, Germany, Spain and many others); insolvency and benefit recipients (Czech Republic); debtors (Kazakhstan); welfare recipients (Brazil); minimum age of 25 (Georgia, Uganda); biometric check on each stake and payout claim (Ghana)</w:t>
            </w:r>
          </w:p>
        </w:tc>
      </w:tr>
      <w:tr>
        <w:trPr>
          <w:cantSplit w:val="false"/>
        </w:trPr>
        <w:tc>
          <w:tcPr>
            <w:tcW w:type="dxa" w:w="2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Mandatory hubs and gateways</w:t>
            </w:r>
          </w:p>
        </w:tc>
        <w:tc>
          <w:tcPr>
            <w:tcW w:type="dxa" w:w="68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Payments or bets that must pass through a state register or gateway (Uzbekistan, Kazakhstan; planned in Uganda), with a unique identifier per transaction (Ukraine)</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Instrument origin and currency</w:t>
            </w:r>
          </w:p>
        </w:tc>
        <w:tc>
          <w:tcPr>
            <w:tcW w:type="dxa" w:w="6846"/>
            <w:tcMar>
              <w:top w:type="dxa" w:w="50"/>
              <w:left w:type="dxa" w:w="80"/>
              <w:bottom w:type="dxa" w:w="50"/>
              <w:right w:type="dxa" w:w="80"/>
            </w:tcMar>
          </w:tcPr>
          <w:p>
            <w:pPr>
              <w:spacing w:after="0" w:line="230"/>
            </w:pPr>
            <w:r>
              <w:rPr>
                <w:rFonts w:ascii="Arial" w:cs="Arial" w:eastAsia="Arial" w:hAnsi="Arial"/>
                <w:sz w:val="18"/>
                <w:szCs w:val="18"/>
              </w:rPr>
              <w:t xml:space="preserve">Domestic banks or cards only (Ukraine, Armenia, Uzbekistan); a single settlement currency (Montenegro, Georgia, Angola, Colombia); one nominated account per player (Tanzania, Ukraine)</w:t>
            </w:r>
          </w:p>
        </w:tc>
      </w:tr>
      <w:tr>
        <w:trPr>
          <w:cantSplit w:val="false"/>
        </w:trPr>
        <w:tc>
          <w:tcPr>
            <w:tcW w:type="dxa" w:w="2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Withdrawal conditions</w:t>
            </w:r>
          </w:p>
        </w:tc>
        <w:tc>
          <w:tcPr>
            <w:tcW w:type="dxa" w:w="68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Share of deposits wagered before withdrawal and withdrawals per day (Colombia); winnings-only withdrawal and return of dormant balances (Croatia); cash payout of online winnings at a venue (Lithuania)</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Payment-blocking lists</w:t>
            </w:r>
          </w:p>
        </w:tc>
        <w:tc>
          <w:tcPr>
            <w:tcW w:type="dxa" w:w="6846"/>
            <w:tcMar>
              <w:top w:type="dxa" w:w="50"/>
              <w:left w:type="dxa" w:w="80"/>
              <w:bottom w:type="dxa" w:w="50"/>
              <w:right w:type="dxa" w:w="80"/>
            </w:tcMar>
          </w:tcPr>
          <w:p>
            <w:pPr>
              <w:spacing w:after="0" w:line="230"/>
            </w:pPr>
            <w:r>
              <w:rPr>
                <w:rFonts w:ascii="Arial" w:cs="Arial" w:eastAsia="Arial" w:hAnsi="Arial"/>
                <w:sz w:val="18"/>
                <w:szCs w:val="18"/>
              </w:rPr>
              <w:t xml:space="preserve">Lists that bind payment providers by operator or domain (Romania, Poland, Lithuania, Kazakhstan), by bank account (Czech Republic), by merchant category (Norway, Armenia), or for a whole category of games (India)</w:t>
            </w:r>
          </w:p>
        </w:tc>
      </w:tr>
      <w:tr>
        <w:trPr>
          <w:cantSplit w:val="false"/>
        </w:trPr>
        <w:tc>
          <w:tcPr>
            <w:tcW w:type="dxa" w:w="2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Data vault and integrity</w:t>
            </w:r>
          </w:p>
        </w:tc>
        <w:tc>
          <w:tcPr>
            <w:tcW w:type="dxa" w:w="68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Operator-hosted vault in the regulator’s schema (Netherlands, Denmark, Spain, Germany, Romania), sealed daily with a regulator-issued token (Denmark), or pulled through a national data-exchange layer (Estonia)</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Data location</w:t>
            </w:r>
          </w:p>
        </w:tc>
        <w:tc>
          <w:tcPr>
            <w:tcW w:type="dxa" w:w="6846"/>
            <w:tcMar>
              <w:top w:type="dxa" w:w="50"/>
              <w:left w:type="dxa" w:w="80"/>
              <w:bottom w:type="dxa" w:w="50"/>
              <w:right w:type="dxa" w:w="80"/>
            </w:tcMar>
          </w:tcPr>
          <w:p>
            <w:pPr>
              <w:spacing w:after="0" w:line="230"/>
            </w:pPr>
            <w:r>
              <w:rPr>
                <w:rFonts w:ascii="Arial" w:cs="Arial" w:eastAsia="Arial" w:hAnsi="Arial"/>
                <w:sz w:val="18"/>
                <w:szCs w:val="18"/>
              </w:rPr>
              <w:t xml:space="preserve">Tier-IV data centre in Curaçao; European Economic Area (Italy, Greece); Nigeria from 2027</w:t>
            </w:r>
          </w:p>
        </w:tc>
      </w:tr>
      <w:tr>
        <w:trPr>
          <w:cantSplit w:val="false"/>
        </w:trPr>
        <w:tc>
          <w:tcPr>
            <w:tcW w:type="dxa" w:w="2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Retention</w:t>
            </w:r>
          </w:p>
        </w:tc>
        <w:tc>
          <w:tcPr>
            <w:tcW w:type="dxa" w:w="68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5 years in most jurisdictions; 7 years (Kenya, Malawi, Portugal); 10 years (Argentina, Serbia, Switzerland, Mexico; Italy, Greece, Spain and New Jersey for some records); tied to the tax limitation period (Bulgaria, Peru)</w:t>
            </w:r>
          </w:p>
        </w:tc>
      </w:tr>
    </w:tbl>
    <w:p>
      <w:pPr>
        <w:spacing w:after="120" w:line="264"/>
      </w:pPr>
      <w:r>
        <w:rPr>
          <w:rFonts w:ascii="Arial" w:cs="Arial" w:eastAsia="Arial" w:hAnsi="Arial"/>
          <w:sz w:val="20"/>
          <w:szCs w:val="20"/>
        </w:rPr>
        <w:t xml:space="preserve">Profiles carry effective dates, so a new rule, a market opening or a change of regulator becomes a new profile version rather than an edit — Finland’s licensing from July 2027 and Latvia’s transfer of supervision to its tax authority are examples. Where a market is closed to online gambling, as in India and Kosovo, the profile covers payment-side blocking only.</w:t>
      </w:r>
    </w:p>
    <w:p>
      <w:pPr>
        <w:spacing w:after="120" w:line="264"/>
      </w:pPr>
      <w:r>
        <w:rPr>
          <w:rFonts w:ascii="Arial" w:cs="Arial" w:eastAsia="Arial" w:hAnsi="Arial"/>
          <w:sz w:val="20"/>
          <w:szCs w:val="20"/>
        </w:rPr>
        <w:t xml:space="preserve">Profiles belong to the authorities. The editor publishes a profile as confirmed only when the authority concerned has reviewed it; until then it is marked as researched from published sources, as every profile in Annex B is today. Where a federal or provincial system has several licensing bodies, a profile may inherit from a shared base and override only what differs, so that provinces or states agree the common part once.</w:t>
      </w:r>
    </w:p>
    <w:p>
      <w:pPr>
        <w:pStyle w:val="Heading1"/>
        <w:spacing w:after="140" w:before="320"/>
      </w:pPr>
      <w:r>
        <w:rPr>
          <w:rFonts w:ascii="Arial" w:cs="Arial" w:eastAsia="Arial" w:hAnsi="Arial"/>
          <w:b/>
          <w:bCs/>
          <w:color w:val="1F3864"/>
          <w:sz w:val="28"/>
          <w:szCs w:val="28"/>
        </w:rPr>
        <w:t xml:space="preserve">6. Rail modules</w:t>
      </w:r>
    </w:p>
    <w:p>
      <w:pPr>
        <w:spacing w:after="120" w:line="264"/>
      </w:pPr>
      <w:r>
        <w:rPr>
          <w:rFonts w:ascii="Arial" w:cs="Arial" w:eastAsia="Arial" w:hAnsi="Arial"/>
          <w:sz w:val="20"/>
          <w:szCs w:val="20"/>
        </w:rPr>
        <w:t xml:space="preserve">Each rail adds the identifiers it naturally carries and the external evidence it naturally produces. A jurisdiction that does not permit a rail leaves it out of its profile; nothing else changes.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100"/>
        <w:gridCol w:w="2700"/>
        <w:gridCol w:w="2500"/>
        <w:gridCol w:w="2446"/>
      </w:tblGrid>
      <w:tr>
        <w:trPr>
          <w:tblHeader/>
        </w:trPr>
        <w:tc>
          <w:tcPr>
            <w:tcW w:type="dxa" w:w="21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Rail</w:t>
            </w:r>
          </w:p>
        </w:tc>
        <w:tc>
          <w:tcPr>
            <w:tcW w:type="dxa" w:w="27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Identifiers carried</w:t>
            </w:r>
          </w:p>
        </w:tc>
        <w:tc>
          <w:tcPr>
            <w:tcW w:type="dxa" w:w="25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Holder verification typically available</w:t>
            </w:r>
          </w:p>
        </w:tc>
        <w:tc>
          <w:tcPr>
            <w:tcW w:type="dxa" w:w="24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External evidence for reconciliation</w:t>
            </w:r>
          </w:p>
        </w:tc>
      </w:tr>
      <w:tr>
        <w:trPr>
          <w:cantSplit w:val="false"/>
        </w:trPr>
        <w:tc>
          <w:tcPr>
            <w:tcW w:type="dxa" w:w="2100"/>
            <w:tcMar>
              <w:top w:type="dxa" w:w="50"/>
              <w:left w:type="dxa" w:w="80"/>
              <w:bottom w:type="dxa" w:w="50"/>
              <w:right w:type="dxa" w:w="80"/>
            </w:tcMar>
          </w:tcPr>
          <w:p>
            <w:pPr>
              <w:spacing w:after="0" w:line="230"/>
            </w:pPr>
            <w:r>
              <w:rPr>
                <w:rFonts w:ascii="Arial" w:cs="Arial" w:eastAsia="Arial" w:hAnsi="Arial"/>
                <w:sz w:val="18"/>
                <w:szCs w:val="18"/>
              </w:rPr>
              <w:t xml:space="preserve">Card</w:t>
            </w:r>
          </w:p>
        </w:tc>
        <w:tc>
          <w:tcPr>
            <w:tcW w:type="dxa" w:w="2700"/>
            <w:tcMar>
              <w:top w:type="dxa" w:w="50"/>
              <w:left w:type="dxa" w:w="80"/>
              <w:bottom w:type="dxa" w:w="50"/>
              <w:right w:type="dxa" w:w="80"/>
            </w:tcMar>
          </w:tcPr>
          <w:p>
            <w:pPr>
              <w:spacing w:after="0" w:line="230"/>
            </w:pPr>
            <w:r>
              <w:rPr>
                <w:rFonts w:ascii="Arial" w:cs="Arial" w:eastAsia="Arial" w:hAnsi="Arial"/>
                <w:sz w:val="18"/>
                <w:szCs w:val="18"/>
              </w:rPr>
              <w:t xml:space="preserve">Tokenised card number, BIN, last four digits, funding type, acquirer reference</w:t>
            </w:r>
          </w:p>
        </w:tc>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Issuer name check where offered; strong customer authentication</w:t>
            </w:r>
          </w:p>
        </w:tc>
        <w:tc>
          <w:tcPr>
            <w:tcW w:type="dxa" w:w="2446"/>
            <w:tcMar>
              <w:top w:type="dxa" w:w="50"/>
              <w:left w:type="dxa" w:w="80"/>
              <w:bottom w:type="dxa" w:w="50"/>
              <w:right w:type="dxa" w:w="80"/>
            </w:tcMar>
          </w:tcPr>
          <w:p>
            <w:pPr>
              <w:spacing w:after="0" w:line="230"/>
            </w:pPr>
            <w:r>
              <w:rPr>
                <w:rFonts w:ascii="Arial" w:cs="Arial" w:eastAsia="Arial" w:hAnsi="Arial"/>
                <w:sz w:val="18"/>
                <w:szCs w:val="18"/>
              </w:rPr>
              <w:t xml:space="preserve">Acquirer settlement reports</w:t>
            </w:r>
          </w:p>
        </w:tc>
      </w:tr>
      <w:tr>
        <w:trPr>
          <w:cantSplit w:val="false"/>
        </w:trPr>
        <w:tc>
          <w:tcPr>
            <w:tcW w:type="dxa" w:w="21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Bank transfer and instant payments (e.g. SEPA, Pix, TED, Interac, CBU/CVU, EFT)</w:t>
            </w:r>
          </w:p>
        </w:tc>
        <w:tc>
          <w:tcPr>
            <w:tcW w:type="dxa" w:w="2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Masked account number, instant-payment key type, end-to-end identifier</w:t>
            </w:r>
          </w:p>
        </w:tc>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Account-name or national-ID check against the bank or directory; open banking</w:t>
            </w:r>
          </w:p>
        </w:tc>
        <w:tc>
          <w:tcPr>
            <w:tcW w:type="dxa" w:w="2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Bank statements; instant-payment confirmations</w:t>
            </w:r>
          </w:p>
        </w:tc>
      </w:tr>
      <w:tr>
        <w:trPr>
          <w:cantSplit w:val="false"/>
        </w:trPr>
        <w:tc>
          <w:tcPr>
            <w:tcW w:type="dxa" w:w="2100"/>
            <w:tcMar>
              <w:top w:type="dxa" w:w="50"/>
              <w:left w:type="dxa" w:w="80"/>
              <w:bottom w:type="dxa" w:w="50"/>
              <w:right w:type="dxa" w:w="80"/>
            </w:tcMar>
          </w:tcPr>
          <w:p>
            <w:pPr>
              <w:spacing w:after="0" w:line="230"/>
            </w:pPr>
            <w:r>
              <w:rPr>
                <w:rFonts w:ascii="Arial" w:cs="Arial" w:eastAsia="Arial" w:hAnsi="Arial"/>
                <w:sz w:val="18"/>
                <w:szCs w:val="18"/>
              </w:rPr>
              <w:t xml:space="preserve">E-money and e-wallets</w:t>
            </w:r>
          </w:p>
        </w:tc>
        <w:tc>
          <w:tcPr>
            <w:tcW w:type="dxa" w:w="2700"/>
            <w:tcMar>
              <w:top w:type="dxa" w:w="50"/>
              <w:left w:type="dxa" w:w="80"/>
              <w:bottom w:type="dxa" w:w="50"/>
              <w:right w:type="dxa" w:w="80"/>
            </w:tcMar>
          </w:tcPr>
          <w:p>
            <w:pPr>
              <w:spacing w:after="0" w:line="230"/>
            </w:pPr>
            <w:r>
              <w:rPr>
                <w:rFonts w:ascii="Arial" w:cs="Arial" w:eastAsia="Arial" w:hAnsi="Arial"/>
                <w:sz w:val="18"/>
                <w:szCs w:val="18"/>
              </w:rPr>
              <w:t xml:space="preserve">Wallet account identifier, funding-source type</w:t>
            </w:r>
          </w:p>
        </w:tc>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Provider identity attestation; funding-source disclosure</w:t>
            </w:r>
          </w:p>
        </w:tc>
        <w:tc>
          <w:tcPr>
            <w:tcW w:type="dxa" w:w="2446"/>
            <w:tcMar>
              <w:top w:type="dxa" w:w="50"/>
              <w:left w:type="dxa" w:w="80"/>
              <w:bottom w:type="dxa" w:w="50"/>
              <w:right w:type="dxa" w:w="80"/>
            </w:tcMar>
          </w:tcPr>
          <w:p>
            <w:pPr>
              <w:spacing w:after="0" w:line="230"/>
            </w:pPr>
            <w:r>
              <w:rPr>
                <w:rFonts w:ascii="Arial" w:cs="Arial" w:eastAsia="Arial" w:hAnsi="Arial"/>
                <w:sz w:val="18"/>
                <w:szCs w:val="18"/>
              </w:rPr>
              <w:t xml:space="preserve">Provider statements</w:t>
            </w:r>
          </w:p>
        </w:tc>
      </w:tr>
      <w:tr>
        <w:trPr>
          <w:cantSplit w:val="false"/>
        </w:trPr>
        <w:tc>
          <w:tcPr>
            <w:tcW w:type="dxa" w:w="21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Mobile money and carrier billing</w:t>
            </w:r>
          </w:p>
        </w:tc>
        <w:tc>
          <w:tcPr>
            <w:tcW w:type="dxa" w:w="2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Hashed phone number, pay-bill or short code, operator receipt or billing reference</w:t>
            </w:r>
          </w:p>
        </w:tc>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Registered-name check with the mobile operator</w:t>
            </w:r>
          </w:p>
        </w:tc>
        <w:tc>
          <w:tcPr>
            <w:tcW w:type="dxa" w:w="2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Mobile operator statements; tax-integration records where they exist</w:t>
            </w:r>
          </w:p>
        </w:tc>
      </w:tr>
      <w:tr>
        <w:trPr>
          <w:cantSplit w:val="false"/>
        </w:trPr>
        <w:tc>
          <w:tcPr>
            <w:tcW w:type="dxa" w:w="2100"/>
            <w:tcMar>
              <w:top w:type="dxa" w:w="50"/>
              <w:left w:type="dxa" w:w="80"/>
              <w:bottom w:type="dxa" w:w="50"/>
              <w:right w:type="dxa" w:w="80"/>
            </w:tcMar>
          </w:tcPr>
          <w:p>
            <w:pPr>
              <w:spacing w:after="0" w:line="230"/>
            </w:pPr>
            <w:r>
              <w:rPr>
                <w:rFonts w:ascii="Arial" w:cs="Arial" w:eastAsia="Arial" w:hAnsi="Arial"/>
                <w:sz w:val="18"/>
                <w:szCs w:val="18"/>
              </w:rPr>
              <w:t xml:space="preserve">Vouchers and prepaid</w:t>
            </w:r>
          </w:p>
        </w:tc>
        <w:tc>
          <w:tcPr>
            <w:tcW w:type="dxa" w:w="2700"/>
            <w:tcMar>
              <w:top w:type="dxa" w:w="50"/>
              <w:left w:type="dxa" w:w="80"/>
              <w:bottom w:type="dxa" w:w="50"/>
              <w:right w:type="dxa" w:w="80"/>
            </w:tcMar>
          </w:tcPr>
          <w:p>
            <w:pPr>
              <w:spacing w:after="0" w:line="230"/>
            </w:pPr>
            <w:r>
              <w:rPr>
                <w:rFonts w:ascii="Arial" w:cs="Arial" w:eastAsia="Arial" w:hAnsi="Arial"/>
                <w:sz w:val="18"/>
                <w:szCs w:val="18"/>
              </w:rPr>
              <w:t xml:space="preserve">Voucher serial, issuer, point of sale</w:t>
            </w:r>
          </w:p>
        </w:tc>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None at purchase; holder established at redemption</w:t>
            </w:r>
          </w:p>
        </w:tc>
        <w:tc>
          <w:tcPr>
            <w:tcW w:type="dxa" w:w="2446"/>
            <w:tcMar>
              <w:top w:type="dxa" w:w="50"/>
              <w:left w:type="dxa" w:w="80"/>
              <w:bottom w:type="dxa" w:w="50"/>
              <w:right w:type="dxa" w:w="80"/>
            </w:tcMar>
          </w:tcPr>
          <w:p>
            <w:pPr>
              <w:spacing w:after="0" w:line="230"/>
            </w:pPr>
            <w:r>
              <w:rPr>
                <w:rFonts w:ascii="Arial" w:cs="Arial" w:eastAsia="Arial" w:hAnsi="Arial"/>
                <w:sz w:val="18"/>
                <w:szCs w:val="18"/>
              </w:rPr>
              <w:t xml:space="preserve">Issuer redemption reports</w:t>
            </w:r>
          </w:p>
        </w:tc>
      </w:tr>
      <w:tr>
        <w:trPr>
          <w:cantSplit w:val="false"/>
        </w:trPr>
        <w:tc>
          <w:tcPr>
            <w:tcW w:type="dxa" w:w="21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Cash at retail or venue</w:t>
            </w:r>
          </w:p>
        </w:tc>
        <w:tc>
          <w:tcPr>
            <w:tcW w:type="dxa" w:w="2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Retail point or cage identifier, cashier, receipt</w:t>
            </w:r>
          </w:p>
        </w:tc>
        <w:tc>
          <w:tcPr>
            <w:tcW w:type="dxa" w:w="25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Identity at the counter</w:t>
            </w:r>
          </w:p>
        </w:tc>
        <w:tc>
          <w:tcPr>
            <w:tcW w:type="dxa" w:w="2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Till and float reconciliations</w:t>
            </w:r>
          </w:p>
        </w:tc>
      </w:tr>
      <w:tr>
        <w:trPr>
          <w:cantSplit w:val="false"/>
        </w:trPr>
        <w:tc>
          <w:tcPr>
            <w:tcW w:type="dxa" w:w="2100"/>
            <w:tcMar>
              <w:top w:type="dxa" w:w="50"/>
              <w:left w:type="dxa" w:w="80"/>
              <w:bottom w:type="dxa" w:w="50"/>
              <w:right w:type="dxa" w:w="80"/>
            </w:tcMar>
          </w:tcPr>
          <w:p>
            <w:pPr>
              <w:spacing w:after="0" w:line="230"/>
            </w:pPr>
            <w:r>
              <w:rPr>
                <w:rFonts w:ascii="Arial" w:cs="Arial" w:eastAsia="Arial" w:hAnsi="Arial"/>
                <w:sz w:val="18"/>
                <w:szCs w:val="18"/>
              </w:rPr>
              <w:t xml:space="preserve">Virtual assets</w:t>
            </w:r>
          </w:p>
        </w:tc>
        <w:tc>
          <w:tcPr>
            <w:tcW w:type="dxa" w:w="2700"/>
            <w:tcMar>
              <w:top w:type="dxa" w:w="50"/>
              <w:left w:type="dxa" w:w="80"/>
              <w:bottom w:type="dxa" w:w="50"/>
              <w:right w:type="dxa" w:w="80"/>
            </w:tcMar>
          </w:tcPr>
          <w:p>
            <w:pPr>
              <w:spacing w:after="0" w:line="230"/>
            </w:pPr>
            <w:r>
              <w:rPr>
                <w:rFonts w:ascii="Arial" w:cs="Arial" w:eastAsia="Arial" w:hAnsi="Arial"/>
                <w:sz w:val="18"/>
                <w:szCs w:val="18"/>
              </w:rPr>
              <w:t xml:space="preserve">Chain, asset, transaction hash, address, confirmations, counterparty type, wallet temperature, off-chain flag</w:t>
            </w:r>
          </w:p>
        </w:tc>
        <w:tc>
          <w:tcPr>
            <w:tcW w:type="dxa" w:w="2500"/>
            <w:tcMar>
              <w:top w:type="dxa" w:w="50"/>
              <w:left w:type="dxa" w:w="80"/>
              <w:bottom w:type="dxa" w:w="50"/>
              <w:right w:type="dxa" w:w="80"/>
            </w:tcMar>
          </w:tcPr>
          <w:p>
            <w:pPr>
              <w:spacing w:after="0" w:line="230"/>
            </w:pPr>
            <w:r>
              <w:rPr>
                <w:rFonts w:ascii="Arial" w:cs="Arial" w:eastAsia="Arial" w:hAnsi="Arial"/>
                <w:sz w:val="18"/>
                <w:szCs w:val="18"/>
              </w:rPr>
              <w:t xml:space="preserve">Signed message, micro-transfer, provider attestation, Travel Rule data</w:t>
            </w:r>
          </w:p>
        </w:tc>
        <w:tc>
          <w:tcPr>
            <w:tcW w:type="dxa" w:w="2446"/>
            <w:tcMar>
              <w:top w:type="dxa" w:w="50"/>
              <w:left w:type="dxa" w:w="80"/>
              <w:bottom w:type="dxa" w:w="50"/>
              <w:right w:type="dxa" w:w="80"/>
            </w:tcMar>
          </w:tcPr>
          <w:p>
            <w:pPr>
              <w:spacing w:after="0" w:line="230"/>
            </w:pPr>
            <w:r>
              <w:rPr>
                <w:rFonts w:ascii="Arial" w:cs="Arial" w:eastAsia="Arial" w:hAnsi="Arial"/>
                <w:sz w:val="18"/>
                <w:szCs w:val="18"/>
              </w:rPr>
              <w:t xml:space="preserve">On-chain data; provider attestations (R11)</w:t>
            </w:r>
          </w:p>
        </w:tc>
      </w:tr>
    </w:tbl>
    <w:p>
      <w:pPr>
        <w:spacing w:after="120" w:line="264"/>
      </w:pPr>
      <w:r>
        <w:rPr>
          <w:rFonts w:ascii="Arial" w:cs="Arial" w:eastAsia="Arial" w:hAnsi="Arial"/>
          <w:sz w:val="20"/>
          <w:szCs w:val="20"/>
        </w:rPr>
        <w:t xml:space="preserve">The virtual-asset module carries forward everything in the Curaçao edition: wallet purpose classes and temperature, key-control models, same-asset and same-wallet withdrawals, blockchain analytics as a check type, and custody models for pooled provider wallets.</w:t>
      </w:r>
    </w:p>
    <w:p>
      <w:pPr>
        <w:pStyle w:val="Heading1"/>
        <w:spacing w:after="140" w:before="320"/>
      </w:pPr>
      <w:r>
        <w:rPr>
          <w:rFonts w:ascii="Arial" w:cs="Arial" w:eastAsia="Arial" w:hAnsi="Arial"/>
          <w:b/>
          <w:bCs/>
          <w:color w:val="1F3864"/>
          <w:sz w:val="28"/>
          <w:szCs w:val="28"/>
        </w:rPr>
        <w:t xml:space="preserve">7. Mapping to existing regulatory formats</w:t>
      </w:r>
    </w:p>
    <w:p>
      <w:pPr>
        <w:spacing w:after="120" w:line="264"/>
      </w:pPr>
      <w:r>
        <w:rPr>
          <w:rFonts w:ascii="Arial" w:cs="Arial" w:eastAsia="Arial" w:hAnsi="Arial"/>
          <w:sz w:val="20"/>
          <w:szCs w:val="20"/>
        </w:rPr>
        <w:t xml:space="preserve">CTRES does not compete with the formats authorities already receive. It is the source those submissions are produced from, and the place an authority can look when a submission raises a question.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900"/>
        <w:gridCol w:w="3300"/>
        <w:gridCol w:w="3546"/>
      </w:tblGrid>
      <w:tr>
        <w:trPr>
          <w:tblHeader/>
        </w:trPr>
        <w:tc>
          <w:tcPr>
            <w:tcW w:type="dxa" w:w="29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Destination</w:t>
            </w:r>
          </w:p>
        </w:tc>
        <w:tc>
          <w:tcPr>
            <w:tcW w:type="dxa" w:w="33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What it receives today</w:t>
            </w:r>
          </w:p>
        </w:tc>
        <w:tc>
          <w:tcPr>
            <w:tcW w:type="dxa" w:w="35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CTRES source</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Financial intelligence units (goAML and national equivalents)</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Suspicious and threshold reports in the unit’s own schema</w:t>
            </w:r>
          </w:p>
        </w:tc>
        <w:tc>
          <w:tcPr>
            <w:tcW w:type="dxa" w:w="3546"/>
            <w:tcMar>
              <w:top w:type="dxa" w:w="50"/>
              <w:left w:type="dxa" w:w="80"/>
              <w:bottom w:type="dxa" w:w="50"/>
              <w:right w:type="dxa" w:w="80"/>
            </w:tcMar>
          </w:tcPr>
          <w:p>
            <w:pPr>
              <w:spacing w:after="0" w:line="230"/>
            </w:pPr>
            <w:r>
              <w:rPr>
                <w:rFonts w:ascii="Arial" w:cs="Arial" w:eastAsia="Arial" w:hAnsi="Arial"/>
                <w:sz w:val="18"/>
                <w:szCs w:val="18"/>
              </w:rPr>
              <w:t xml:space="preserve">R3, R4 and R5 populate transactions and parties; profile windows drive aggregation; R12 keeps the receipt</w:t>
            </w:r>
          </w:p>
        </w:tc>
      </w:tr>
      <w:tr>
        <w:trPr>
          <w:cantSplit w:val="false"/>
        </w:trPr>
        <w:tc>
          <w:tcPr>
            <w:tcW w:type="dxa" w:w="2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FINTRAC (Canada)</w:t>
            </w:r>
          </w:p>
        </w:tc>
        <w:tc>
          <w:tcPr>
            <w:tcW w:type="dxa" w:w="3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Large cash, large virtual currency, casino disbursement and suspicious transaction reports through a JSON API</w:t>
            </w:r>
          </w:p>
        </w:tc>
        <w:tc>
          <w:tcPr>
            <w:tcW w:type="dxa" w:w="35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R3 and R4 with the 24-hour rule applied by the profile; R12 keeps the receipt</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SIGAP (Brazil)</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Signed XML files, daily and monthly</w:t>
            </w:r>
          </w:p>
        </w:tc>
        <w:tc>
          <w:tcPr>
            <w:tcW w:type="dxa" w:w="3546"/>
            <w:tcMar>
              <w:top w:type="dxa" w:w="50"/>
              <w:left w:type="dxa" w:w="80"/>
              <w:bottom w:type="dxa" w:w="50"/>
              <w:right w:type="dxa" w:w="80"/>
            </w:tcMar>
          </w:tcPr>
          <w:p>
            <w:pPr>
              <w:spacing w:after="0" w:line="230"/>
            </w:pPr>
            <w:r>
              <w:rPr>
                <w:rFonts w:ascii="Arial" w:cs="Arial" w:eastAsia="Arial" w:hAnsi="Arial"/>
                <w:sz w:val="18"/>
                <w:szCs w:val="18"/>
              </w:rPr>
              <w:t xml:space="preserve">R3 and R4 feed the wallet-movement files; R12 keeps the file receipts</w:t>
            </w:r>
          </w:p>
        </w:tc>
      </w:tr>
      <w:tr>
        <w:trPr>
          <w:cantSplit w:val="false"/>
        </w:trPr>
        <w:tc>
          <w:tcPr>
            <w:tcW w:type="dxa" w:w="2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Central control systems (e.g. Italy, Greece, Bulgaria, Serbia, Ukraine, Kenya)</w:t>
            </w:r>
          </w:p>
        </w:tc>
        <w:tc>
          <w:tcPr>
            <w:tcW w:type="dxa" w:w="3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Transaction data in real time, in the authority’s protocol</w:t>
            </w:r>
          </w:p>
        </w:tc>
        <w:tc>
          <w:tcPr>
            <w:tcW w:type="dxa" w:w="35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authority_reference on R3 and R4 links each payment to the code the central system issued</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Data vaults and safe servers (e.g. Netherlands, Denmark, Germany, Spain, Romania)</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Account and transaction records in the authority’s schema, XML or JSON</w:t>
            </w:r>
          </w:p>
        </w:tc>
        <w:tc>
          <w:tcPr>
            <w:tcW w:type="dxa" w:w="3546"/>
            <w:tcMar>
              <w:top w:type="dxa" w:w="50"/>
              <w:left w:type="dxa" w:w="80"/>
              <w:bottom w:type="dxa" w:w="50"/>
              <w:right w:type="dxa" w:w="80"/>
            </w:tcMar>
          </w:tcPr>
          <w:p>
            <w:pPr>
              <w:spacing w:after="0" w:line="230"/>
            </w:pPr>
            <w:r>
              <w:rPr>
                <w:rFonts w:ascii="Arial" w:cs="Arial" w:eastAsia="Arial" w:hAnsi="Arial"/>
                <w:sz w:val="18"/>
                <w:szCs w:val="18"/>
              </w:rPr>
              <w:t xml:space="preserve">R3 and R4 map to the vault’s payment records; R12 keeps the seal or upload receipt</w:t>
            </w:r>
          </w:p>
        </w:tc>
      </w:tr>
      <w:tr>
        <w:trPr>
          <w:cantSplit w:val="false"/>
        </w:trPr>
        <w:tc>
          <w:tcPr>
            <w:tcW w:type="dxa" w:w="2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Central limit files, registers and state hubs (e.g. Germany, Czech Republic, Kazakhstan, Uzbekistan)</w:t>
            </w:r>
          </w:p>
        </w:tc>
        <w:tc>
          <w:tcPr>
            <w:tcW w:type="dxa" w:w="3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 query before each deposit or bet, and the hub’s transaction identifier</w:t>
            </w:r>
          </w:p>
        </w:tc>
        <w:tc>
          <w:tcPr>
            <w:tcW w:type="dxa" w:w="35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R5 records each query and response, performed by the authority system; authority_reference carries the hub identifier</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Tax-authority feeds (e.g. Mexico, Kenya, Uganda, Ghana)</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Transactions and taxes, in real time or daily</w:t>
            </w:r>
          </w:p>
        </w:tc>
        <w:tc>
          <w:tcPr>
            <w:tcW w:type="dxa" w:w="3546"/>
            <w:tcMar>
              <w:top w:type="dxa" w:w="50"/>
              <w:left w:type="dxa" w:w="80"/>
              <w:bottom w:type="dxa" w:w="50"/>
              <w:right w:type="dxa" w:w="80"/>
            </w:tcMar>
          </w:tcPr>
          <w:p>
            <w:pPr>
              <w:spacing w:after="0" w:line="230"/>
            </w:pPr>
            <w:r>
              <w:rPr>
                <w:rFonts w:ascii="Arial" w:cs="Arial" w:eastAsia="Arial" w:hAnsi="Arial"/>
                <w:sz w:val="18"/>
                <w:szCs w:val="18"/>
              </w:rPr>
              <w:t xml:space="preserve">tax_lines on R3 and R4; R12 keeps remittance receipts</w:t>
            </w:r>
          </w:p>
        </w:tc>
      </w:tr>
      <w:tr>
        <w:trPr>
          <w:cantSplit w:val="false"/>
        </w:trPr>
        <w:tc>
          <w:tcPr>
            <w:tcW w:type="dxa" w:w="2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Player-funds reporting (e.g. Malta’s monthly report; annual agreed-upon procedures in several jurisdictions)</w:t>
            </w:r>
          </w:p>
        </w:tc>
        <w:tc>
          <w:tcPr>
            <w:tcW w:type="dxa" w:w="3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Balances, liabilities and supporting statements</w:t>
            </w:r>
          </w:p>
        </w:tc>
        <w:tc>
          <w:tcPr>
            <w:tcW w:type="dxa" w:w="35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R7 coverage statement, with evidence references</w:t>
            </w:r>
          </w:p>
        </w:tc>
      </w:tr>
      <w:tr>
        <w:trPr>
          <w:cantSplit w:val="false"/>
        </w:trPr>
        <w:tc>
          <w:tcPr>
            <w:tcW w:type="dxa" w:w="2900"/>
            <w:tcMar>
              <w:top w:type="dxa" w:w="50"/>
              <w:left w:type="dxa" w:w="80"/>
              <w:bottom w:type="dxa" w:w="50"/>
              <w:right w:type="dxa" w:w="80"/>
            </w:tcMar>
          </w:tcPr>
          <w:p>
            <w:pPr>
              <w:spacing w:after="0" w:line="230"/>
            </w:pPr>
            <w:r>
              <w:rPr>
                <w:rFonts w:ascii="Arial" w:cs="Arial" w:eastAsia="Arial" w:hAnsi="Arial"/>
                <w:sz w:val="18"/>
                <w:szCs w:val="18"/>
              </w:rPr>
              <w:t xml:space="preserve">Periodic regulatory returns (e.g. United Kingdom, Gibraltar)</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Aggregated figures</w:t>
            </w:r>
          </w:p>
        </w:tc>
        <w:tc>
          <w:tcPr>
            <w:tcW w:type="dxa" w:w="3546"/>
            <w:tcMar>
              <w:top w:type="dxa" w:w="50"/>
              <w:left w:type="dxa" w:w="80"/>
              <w:bottom w:type="dxa" w:w="50"/>
              <w:right w:type="dxa" w:w="80"/>
            </w:tcMar>
          </w:tcPr>
          <w:p>
            <w:pPr>
              <w:spacing w:after="0" w:line="230"/>
            </w:pPr>
            <w:r>
              <w:rPr>
                <w:rFonts w:ascii="Arial" w:cs="Arial" w:eastAsia="Arial" w:hAnsi="Arial"/>
                <w:sz w:val="18"/>
                <w:szCs w:val="18"/>
              </w:rPr>
              <w:t xml:space="preserve">Derived from R3, R4 and R7</w:t>
            </w:r>
          </w:p>
        </w:tc>
      </w:tr>
    </w:tbl>
    <w:p>
      <w:pPr>
        <w:spacing w:after="120" w:line="264"/>
      </w:pPr>
      <w:r>
        <w:rPr>
          <w:rFonts w:ascii="Arial" w:cs="Arial" w:eastAsia="Arial" w:hAnsi="Arial"/>
          <w:sz w:val="20"/>
          <w:szCs w:val="20"/>
        </w:rPr>
        <w:t xml:space="preserve">The mappings above are indicative. Detailed mappings are maintained separately from this Standard, versioned, and tested against the destination’s own schema wherever that schema is public.</w:t>
      </w:r>
    </w:p>
    <w:p>
      <w:pPr>
        <w:pStyle w:val="Heading1"/>
        <w:spacing w:after="140" w:before="320"/>
      </w:pPr>
      <w:r>
        <w:rPr>
          <w:rFonts w:ascii="Arial" w:cs="Arial" w:eastAsia="Arial" w:hAnsi="Arial"/>
          <w:b/>
          <w:bCs/>
          <w:color w:val="1F3864"/>
          <w:sz w:val="28"/>
          <w:szCs w:val="28"/>
        </w:rPr>
        <w:t xml:space="preserve">8. Submission and access</w:t>
      </w:r>
    </w:p>
    <w:p>
      <w:pPr>
        <w:pStyle w:val="Heading2"/>
        <w:spacing w:after="100" w:before="220"/>
      </w:pPr>
      <w:r>
        <w:rPr>
          <w:rFonts w:ascii="Arial" w:cs="Arial" w:eastAsia="Arial" w:hAnsi="Arial"/>
          <w:b/>
          <w:bCs/>
          <w:color w:val="2E5496"/>
          <w:sz w:val="22"/>
          <w:szCs w:val="22"/>
        </w:rPr>
        <w:t xml:space="preserve">8.1 Modes</w:t>
      </w:r>
    </w:p>
    <w:p>
      <w:pPr>
        <w:spacing w:after="120" w:line="264"/>
      </w:pPr>
      <w:r>
        <w:rPr>
          <w:rFonts w:ascii="Arial" w:cs="Arial" w:eastAsia="Arial" w:hAnsi="Arial"/>
          <w:sz w:val="20"/>
          <w:szCs w:val="20"/>
        </w:rPr>
        <w:t xml:space="preserve">The profile chooses the mode. None of them adds a channel.</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000"/>
        <w:gridCol w:w="3000"/>
        <w:gridCol w:w="4746"/>
      </w:tblGrid>
      <w:tr>
        <w:trPr>
          <w:tblHeader/>
        </w:trPr>
        <w:tc>
          <w:tcPr>
            <w:tcW w:type="dxa" w:w="20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Mode</w:t>
            </w:r>
          </w:p>
        </w:tc>
        <w:tc>
          <w:tcPr>
            <w:tcW w:type="dxa" w:w="30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When</w:t>
            </w:r>
          </w:p>
        </w:tc>
        <w:tc>
          <w:tcPr>
            <w:tcW w:type="dxa" w:w="47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Contents</w:t>
            </w:r>
          </w:p>
        </w:tc>
      </w:tr>
      <w:tr>
        <w:trPr>
          <w:cantSplit w:val="false"/>
        </w:trPr>
        <w:tc>
          <w:tcPr>
            <w:tcW w:type="dxa" w:w="2000"/>
            <w:tcMar>
              <w:top w:type="dxa" w:w="50"/>
              <w:left w:type="dxa" w:w="80"/>
              <w:bottom w:type="dxa" w:w="50"/>
              <w:right w:type="dxa" w:w="80"/>
            </w:tcMar>
          </w:tcPr>
          <w:p>
            <w:pPr>
              <w:spacing w:after="0" w:line="230"/>
            </w:pPr>
            <w:r>
              <w:rPr>
                <w:rFonts w:ascii="Arial" w:cs="Arial" w:eastAsia="Arial" w:hAnsi="Arial"/>
                <w:sz w:val="18"/>
                <w:szCs w:val="18"/>
              </w:rPr>
              <w:t xml:space="preserve">Continuous</w:t>
            </w:r>
          </w:p>
        </w:tc>
        <w:tc>
          <w:tcPr>
            <w:tcW w:type="dxa" w:w="3000"/>
            <w:tcMar>
              <w:top w:type="dxa" w:w="50"/>
              <w:left w:type="dxa" w:w="80"/>
              <w:bottom w:type="dxa" w:w="50"/>
              <w:right w:type="dxa" w:w="80"/>
            </w:tcMar>
          </w:tcPr>
          <w:p>
            <w:pPr>
              <w:spacing w:after="0" w:line="230"/>
            </w:pPr>
            <w:r>
              <w:rPr>
                <w:rFonts w:ascii="Arial" w:cs="Arial" w:eastAsia="Arial" w:hAnsi="Arial"/>
                <w:sz w:val="18"/>
                <w:szCs w:val="18"/>
              </w:rPr>
              <w:t xml:space="preserve">Where the authority runs a central system or requires real-time access</w:t>
            </w:r>
          </w:p>
        </w:tc>
        <w:tc>
          <w:tcPr>
            <w:tcW w:type="dxa" w:w="4746"/>
            <w:tcMar>
              <w:top w:type="dxa" w:w="50"/>
              <w:left w:type="dxa" w:w="80"/>
              <w:bottom w:type="dxa" w:w="50"/>
              <w:right w:type="dxa" w:w="80"/>
            </w:tcMar>
          </w:tcPr>
          <w:p>
            <w:pPr>
              <w:spacing w:after="0" w:line="230"/>
            </w:pPr>
            <w:r>
              <w:rPr>
                <w:rFonts w:ascii="Arial" w:cs="Arial" w:eastAsia="Arial" w:hAnsi="Arial"/>
                <w:sz w:val="18"/>
                <w:szCs w:val="18"/>
              </w:rPr>
              <w:t xml:space="preserve">Records are generated as events occur. The authority’s system remains the channel; CTRES is the operator-side source and audit trail.</w:t>
            </w:r>
          </w:p>
        </w:tc>
      </w:tr>
      <w:tr>
        <w:trPr>
          <w:cantSplit w:val="false"/>
        </w:trPr>
        <w:tc>
          <w:tcPr>
            <w:tcW w:type="dxa" w:w="20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Periodic package</w:t>
            </w:r>
          </w:p>
        </w:tc>
        <w:tc>
          <w:tcPr>
            <w:tcW w:type="dxa" w:w="30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On the profile’s cadence — monthly, quarterly or semi-annual</w:t>
            </w:r>
          </w:p>
        </w:tc>
        <w:tc>
          <w:tcPr>
            <w:tcW w:type="dxa" w:w="47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R1, R7, R8, R10 and R11, with the conformance declaration; R2 to R6 as a full extract or a sample, as the profile sets</w:t>
            </w:r>
          </w:p>
        </w:tc>
      </w:tr>
      <w:tr>
        <w:trPr>
          <w:cantSplit w:val="false"/>
        </w:trPr>
        <w:tc>
          <w:tcPr>
            <w:tcW w:type="dxa" w:w="2000"/>
            <w:tcMar>
              <w:top w:type="dxa" w:w="50"/>
              <w:left w:type="dxa" w:w="80"/>
              <w:bottom w:type="dxa" w:w="50"/>
              <w:right w:type="dxa" w:w="80"/>
            </w:tcMar>
          </w:tcPr>
          <w:p>
            <w:pPr>
              <w:spacing w:after="0" w:line="230"/>
            </w:pPr>
            <w:r>
              <w:rPr>
                <w:rFonts w:ascii="Arial" w:cs="Arial" w:eastAsia="Arial" w:hAnsi="Arial"/>
                <w:sz w:val="18"/>
                <w:szCs w:val="18"/>
              </w:rPr>
              <w:t xml:space="preserve">On demand</w:t>
            </w:r>
          </w:p>
        </w:tc>
        <w:tc>
          <w:tcPr>
            <w:tcW w:type="dxa" w:w="3000"/>
            <w:tcMar>
              <w:top w:type="dxa" w:w="50"/>
              <w:left w:type="dxa" w:w="80"/>
              <w:bottom w:type="dxa" w:w="50"/>
              <w:right w:type="dxa" w:w="80"/>
            </w:tcMar>
          </w:tcPr>
          <w:p>
            <w:pPr>
              <w:spacing w:after="0" w:line="230"/>
            </w:pPr>
            <w:r>
              <w:rPr>
                <w:rFonts w:ascii="Arial" w:cs="Arial" w:eastAsia="Arial" w:hAnsi="Arial"/>
                <w:sz w:val="18"/>
                <w:szCs w:val="18"/>
              </w:rPr>
              <w:t xml:space="preserve">Within the profile’s deadline for information requests</w:t>
            </w:r>
          </w:p>
        </w:tc>
        <w:tc>
          <w:tcPr>
            <w:tcW w:type="dxa" w:w="4746"/>
            <w:tcMar>
              <w:top w:type="dxa" w:w="50"/>
              <w:left w:type="dxa" w:w="80"/>
              <w:bottom w:type="dxa" w:w="50"/>
              <w:right w:type="dxa" w:w="80"/>
            </w:tcMar>
          </w:tcPr>
          <w:p>
            <w:pPr>
              <w:spacing w:after="0" w:line="230"/>
            </w:pPr>
            <w:r>
              <w:rPr>
                <w:rFonts w:ascii="Arial" w:cs="Arial" w:eastAsia="Arial" w:hAnsi="Arial"/>
                <w:sz w:val="18"/>
                <w:szCs w:val="18"/>
              </w:rPr>
              <w:t xml:space="preserve">The evidence pack (§9), per player, per transaction or per period</w:t>
            </w:r>
          </w:p>
        </w:tc>
      </w:tr>
      <w:tr>
        <w:trPr>
          <w:cantSplit w:val="false"/>
        </w:trPr>
        <w:tc>
          <w:tcPr>
            <w:tcW w:type="dxa" w:w="20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Incident</w:t>
            </w:r>
          </w:p>
        </w:tc>
        <w:tc>
          <w:tcPr>
            <w:tcW w:type="dxa" w:w="30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Within the profile’s incident deadline</w:t>
            </w:r>
          </w:p>
        </w:tc>
        <w:tc>
          <w:tcPr>
            <w:tcW w:type="dxa" w:w="47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R9, with the affected records referenced by identifier</w:t>
            </w:r>
          </w:p>
        </w:tc>
      </w:tr>
    </w:tbl>
    <w:p>
      <w:pPr>
        <w:pStyle w:val="Heading2"/>
        <w:spacing w:after="100" w:before="220"/>
      </w:pPr>
      <w:r>
        <w:rPr>
          <w:rFonts w:ascii="Arial" w:cs="Arial" w:eastAsia="Arial" w:hAnsi="Arial"/>
          <w:b/>
          <w:bCs/>
          <w:color w:val="2E5496"/>
          <w:sz w:val="22"/>
          <w:szCs w:val="22"/>
        </w:rPr>
        <w:t xml:space="preserve">8.2 Formats and integrity</w:t>
      </w:r>
    </w:p>
    <w:p>
      <w:pPr>
        <w:pStyle w:val="ListParagraph"/>
        <w:numPr>
          <w:ilvl w:val="0"/>
          <w:numId w:val="2"/>
        </w:numPr>
        <w:spacing w:after="60" w:line="264"/>
      </w:pPr>
      <w:r>
        <w:rPr>
          <w:rFonts w:ascii="Arial" w:cs="Arial" w:eastAsia="Arial" w:hAnsi="Arial"/>
          <w:sz w:val="20"/>
          <w:szCs w:val="20"/>
        </w:rPr>
        <w:t xml:space="preserve">JSON Lines, UTF-8, one record per line, one record type per file. A CSV profile with identical field names is permitted at Level 1.</w:t>
      </w:r>
    </w:p>
    <w:p>
      <w:pPr>
        <w:pStyle w:val="ListParagraph"/>
        <w:numPr>
          <w:ilvl w:val="0"/>
          <w:numId w:val="2"/>
        </w:numPr>
        <w:spacing w:after="60" w:line="264"/>
      </w:pPr>
      <w:r>
        <w:rPr>
          <w:rFonts w:ascii="Arial" w:cs="Arial" w:eastAsia="Arial" w:hAnsi="Arial"/>
          <w:sz w:val="20"/>
          <w:szCs w:val="20"/>
        </w:rPr>
        <w:t xml:space="preserve">Timestamps in ISO 8601 with an explicit offset. Amounts as decimal strings, never floating point. Currencies as ISO 4217 codes; virtual assets by chain and contract.</w:t>
      </w:r>
    </w:p>
    <w:p>
      <w:pPr>
        <w:pStyle w:val="ListParagraph"/>
        <w:numPr>
          <w:ilvl w:val="0"/>
          <w:numId w:val="2"/>
        </w:numPr>
        <w:spacing w:after="60" w:line="264"/>
      </w:pPr>
      <w:r>
        <w:rPr>
          <w:rFonts w:ascii="Arial" w:cs="Arial" w:eastAsia="Arial" w:hAnsi="Arial"/>
          <w:sz w:val="20"/>
          <w:szCs w:val="20"/>
        </w:rPr>
        <w:t xml:space="preserve">Every package carries manifest.json: licence, profile identifier and version, period, record counts, a SHA-256 hash per file, and the generating software and version. The SHA-256 of manifest.json is the package fingerprint: a receipt that quotes it proves which package was submitted. The manifest may be signed with the operator’s certificate where the profile requires.</w:t>
      </w:r>
    </w:p>
    <w:p>
      <w:pPr>
        <w:pStyle w:val="ListParagraph"/>
        <w:numPr>
          <w:ilvl w:val="0"/>
          <w:numId w:val="2"/>
        </w:numPr>
        <w:spacing w:after="60" w:line="264"/>
      </w:pPr>
      <w:r>
        <w:rPr>
          <w:rFonts w:ascii="Arial" w:cs="Arial" w:eastAsia="Arial" w:hAnsi="Arial"/>
          <w:sz w:val="20"/>
          <w:szCs w:val="20"/>
        </w:rPr>
        <w:t xml:space="preserve">Corrections are submitted as a new package that supersedes an earlier one by identifier and reason, so that the record of what was known when is preserved.</w:t>
      </w:r>
    </w:p>
    <w:p>
      <w:pPr>
        <w:pStyle w:val="Heading2"/>
        <w:spacing w:after="100" w:before="220"/>
      </w:pPr>
      <w:r>
        <w:rPr>
          <w:rFonts w:ascii="Arial" w:cs="Arial" w:eastAsia="Arial" w:hAnsi="Arial"/>
          <w:b/>
          <w:bCs/>
          <w:color w:val="2E5496"/>
          <w:sz w:val="22"/>
          <w:szCs w:val="22"/>
        </w:rPr>
        <w:t xml:space="preserve">8.3 Transport and location</w:t>
      </w:r>
    </w:p>
    <w:p>
      <w:pPr>
        <w:spacing w:after="120" w:line="264"/>
      </w:pPr>
      <w:r>
        <w:rPr>
          <w:rFonts w:ascii="Arial" w:cs="Arial" w:eastAsia="Arial" w:hAnsi="Arial"/>
          <w:sz w:val="20"/>
          <w:szCs w:val="20"/>
        </w:rPr>
        <w:t xml:space="preserve">Through the authority’s existing channel. Periodic packages are pseudonymous, so a package seen in transit reveals no player identity. Data location follows the profile. The Standard proposes no new channel and moves no data across borders.</w:t>
      </w:r>
    </w:p>
    <w:p>
      <w:pPr>
        <w:pStyle w:val="Heading1"/>
        <w:spacing w:after="140" w:before="320"/>
      </w:pPr>
      <w:r>
        <w:rPr>
          <w:rFonts w:ascii="Arial" w:cs="Arial" w:eastAsia="Arial" w:hAnsi="Arial"/>
          <w:b/>
          <w:bCs/>
          <w:color w:val="1F3864"/>
          <w:sz w:val="28"/>
          <w:szCs w:val="28"/>
        </w:rPr>
        <w:t xml:space="preserve">9. Evidence pack</w:t>
      </w:r>
    </w:p>
    <w:p>
      <w:pPr>
        <w:spacing w:after="120" w:line="264"/>
      </w:pPr>
      <w:r>
        <w:rPr>
          <w:rFonts w:ascii="Arial" w:cs="Arial" w:eastAsia="Arial" w:hAnsi="Arial"/>
          <w:sz w:val="20"/>
          <w:szCs w:val="20"/>
        </w:rPr>
        <w:t xml:space="preserve">The pack answers a single supervisory question on any rail: show me this money, end to end. It is assembled from records already defined and contains, for one deposit and the withdrawal that followed it:</w:t>
      </w:r>
    </w:p>
    <w:p>
      <w:pPr>
        <w:pStyle w:val="ListParagraph"/>
        <w:numPr>
          <w:ilvl w:val="0"/>
          <w:numId w:val="2"/>
        </w:numPr>
        <w:spacing w:after="60" w:line="264"/>
      </w:pPr>
      <w:r>
        <w:rPr>
          <w:rFonts w:ascii="Arial" w:cs="Arial" w:eastAsia="Arial" w:hAnsi="Arial"/>
          <w:sz w:val="20"/>
          <w:szCs w:val="20"/>
        </w:rPr>
        <w:t xml:space="preserve">The player reference, verification status and the level of due diligence applied at the relevant threshold.</w:t>
      </w:r>
    </w:p>
    <w:p>
      <w:pPr>
        <w:pStyle w:val="ListParagraph"/>
        <w:numPr>
          <w:ilvl w:val="0"/>
          <w:numId w:val="2"/>
        </w:numPr>
        <w:spacing w:after="60" w:line="264"/>
      </w:pPr>
      <w:r>
        <w:rPr>
          <w:rFonts w:ascii="Arial" w:cs="Arial" w:eastAsia="Arial" w:hAnsi="Arial"/>
          <w:sz w:val="20"/>
          <w:szCs w:val="20"/>
        </w:rPr>
        <w:t xml:space="preserve">The deposit: rail, instrument, holder-match result, amount, rail reference and any authority reference.</w:t>
      </w:r>
    </w:p>
    <w:p>
      <w:pPr>
        <w:pStyle w:val="ListParagraph"/>
        <w:numPr>
          <w:ilvl w:val="0"/>
          <w:numId w:val="2"/>
        </w:numPr>
        <w:spacing w:after="60" w:line="264"/>
      </w:pPr>
      <w:r>
        <w:rPr>
          <w:rFonts w:ascii="Arial" w:cs="Arial" w:eastAsia="Arial" w:hAnsi="Arial"/>
          <w:sz w:val="20"/>
          <w:szCs w:val="20"/>
        </w:rPr>
        <w:t xml:space="preserve">The checks that preceded crediting, with timestamps that prove the order.</w:t>
      </w:r>
    </w:p>
    <w:p>
      <w:pPr>
        <w:pStyle w:val="ListParagraph"/>
        <w:numPr>
          <w:ilvl w:val="0"/>
          <w:numId w:val="2"/>
        </w:numPr>
        <w:spacing w:after="60" w:line="264"/>
      </w:pPr>
      <w:r>
        <w:rPr>
          <w:rFonts w:ascii="Arial" w:cs="Arial" w:eastAsia="Arial" w:hAnsi="Arial"/>
          <w:sz w:val="20"/>
          <w:szCs w:val="20"/>
        </w:rPr>
        <w:t xml:space="preserve">The crediting entry, and any difference from the amount received, with its reason.</w:t>
      </w:r>
    </w:p>
    <w:p>
      <w:pPr>
        <w:pStyle w:val="ListParagraph"/>
        <w:numPr>
          <w:ilvl w:val="0"/>
          <w:numId w:val="2"/>
        </w:numPr>
        <w:spacing w:after="60" w:line="264"/>
      </w:pPr>
      <w:r>
        <w:rPr>
          <w:rFonts w:ascii="Arial" w:cs="Arial" w:eastAsia="Arial" w:hAnsi="Arial"/>
          <w:sz w:val="20"/>
          <w:szCs w:val="20"/>
        </w:rPr>
        <w:t xml:space="preserve">Taxes levied at the payment and their remittance.</w:t>
      </w:r>
    </w:p>
    <w:p>
      <w:pPr>
        <w:pStyle w:val="ListParagraph"/>
        <w:numPr>
          <w:ilvl w:val="0"/>
          <w:numId w:val="2"/>
        </w:numPr>
        <w:spacing w:after="60" w:line="264"/>
      </w:pPr>
      <w:r>
        <w:rPr>
          <w:rFonts w:ascii="Arial" w:cs="Arial" w:eastAsia="Arial" w:hAnsi="Arial"/>
          <w:sz w:val="20"/>
          <w:szCs w:val="20"/>
        </w:rPr>
        <w:t xml:space="preserve">The withdrawal: destination, closed-loop result, checks, approver, and the times requested and paid.</w:t>
      </w:r>
    </w:p>
    <w:p>
      <w:pPr>
        <w:pStyle w:val="ListParagraph"/>
        <w:numPr>
          <w:ilvl w:val="0"/>
          <w:numId w:val="2"/>
        </w:numPr>
        <w:spacing w:after="60" w:line="264"/>
      </w:pPr>
      <w:r>
        <w:rPr>
          <w:rFonts w:ascii="Arial" w:cs="Arial" w:eastAsia="Arial" w:hAnsi="Arial"/>
          <w:sz w:val="20"/>
          <w:szCs w:val="20"/>
        </w:rPr>
        <w:t xml:space="preserve">The location and coverage statements for the period, any exception referencing the transaction, and any report reference the requester is entitled to see.</w:t>
      </w:r>
    </w:p>
    <w:p>
      <w:pPr>
        <w:spacing w:after="120" w:line="264"/>
      </w:pPr>
      <w:r>
        <w:rPr>
          <w:rFonts w:ascii="Arial" w:cs="Arial" w:eastAsia="Arial" w:hAnsi="Arial"/>
          <w:sz w:val="20"/>
          <w:szCs w:val="20"/>
        </w:rPr>
        <w:t xml:space="preserve">An auditor can sample directly from these packs. An operator that can produce them in minutes rather than weeks has reduced the cost of its own audit — the commercial reason to adopt the Standard, irrespective of supervision.</w:t>
      </w:r>
    </w:p>
    <w:p>
      <w:pPr>
        <w:pStyle w:val="Heading1"/>
        <w:spacing w:after="140" w:before="320"/>
      </w:pPr>
      <w:r>
        <w:rPr>
          <w:rFonts w:ascii="Arial" w:cs="Arial" w:eastAsia="Arial" w:hAnsi="Arial"/>
          <w:b/>
          <w:bCs/>
          <w:color w:val="1F3864"/>
          <w:sz w:val="28"/>
          <w:szCs w:val="28"/>
        </w:rPr>
        <w:t xml:space="preserve">10. Conformance levels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900"/>
        <w:gridCol w:w="5200"/>
        <w:gridCol w:w="2646"/>
      </w:tblGrid>
      <w:tr>
        <w:trPr>
          <w:tblHeader/>
        </w:trPr>
        <w:tc>
          <w:tcPr>
            <w:tcW w:type="dxa" w:w="19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Level</w:t>
            </w:r>
          </w:p>
        </w:tc>
        <w:tc>
          <w:tcPr>
            <w:tcW w:type="dxa" w:w="52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Requirement</w:t>
            </w:r>
          </w:p>
        </w:tc>
        <w:tc>
          <w:tcPr>
            <w:tcW w:type="dxa" w:w="26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Typical operator</w:t>
            </w:r>
          </w:p>
        </w:tc>
      </w:tr>
      <w:tr>
        <w:trPr>
          <w:cantSplit w:val="false"/>
        </w:trPr>
        <w:tc>
          <w:tcPr>
            <w:tcW w:type="dxa" w:w="1900"/>
            <w:tcMar>
              <w:top w:type="dxa" w:w="50"/>
              <w:left w:type="dxa" w:w="80"/>
              <w:bottom w:type="dxa" w:w="50"/>
              <w:right w:type="dxa" w:w="80"/>
            </w:tcMar>
          </w:tcPr>
          <w:p>
            <w:pPr>
              <w:spacing w:after="0" w:line="230"/>
            </w:pPr>
            <w:r>
              <w:rPr>
                <w:rFonts w:ascii="Arial" w:cs="Arial" w:eastAsia="Arial" w:hAnsi="Arial"/>
                <w:sz w:val="18"/>
                <w:szCs w:val="18"/>
              </w:rPr>
              <w:t xml:space="preserve">Level 1 — Records</w:t>
            </w:r>
          </w:p>
        </w:tc>
        <w:tc>
          <w:tcPr>
            <w:tcW w:type="dxa" w:w="5200"/>
            <w:tcMar>
              <w:top w:type="dxa" w:w="50"/>
              <w:left w:type="dxa" w:w="80"/>
              <w:bottom w:type="dxa" w:w="50"/>
              <w:right w:type="dxa" w:w="80"/>
            </w:tcMar>
          </w:tcPr>
          <w:p>
            <w:pPr>
              <w:spacing w:after="0" w:line="230"/>
            </w:pPr>
            <w:r>
              <w:rPr>
                <w:rFonts w:ascii="Arial" w:cs="Arial" w:eastAsia="Arial" w:hAnsi="Arial"/>
                <w:sz w:val="18"/>
                <w:szCs w:val="18"/>
              </w:rPr>
              <w:t xml:space="preserve">Every record type applicable under the operator’s profile can be produced on request, within the profile’s deadline, in CSV or JSON, with a manifest.</w:t>
            </w:r>
          </w:p>
        </w:tc>
        <w:tc>
          <w:tcPr>
            <w:tcW w:type="dxa" w:w="2646"/>
            <w:tcMar>
              <w:top w:type="dxa" w:w="50"/>
              <w:left w:type="dxa" w:w="80"/>
              <w:bottom w:type="dxa" w:w="50"/>
              <w:right w:type="dxa" w:w="80"/>
            </w:tcMar>
          </w:tcPr>
          <w:p>
            <w:pPr>
              <w:spacing w:after="0" w:line="230"/>
            </w:pPr>
            <w:r>
              <w:rPr>
                <w:rFonts w:ascii="Arial" w:cs="Arial" w:eastAsia="Arial" w:hAnsi="Arial"/>
                <w:sz w:val="18"/>
                <w:szCs w:val="18"/>
              </w:rPr>
              <w:t xml:space="preserve">Small operator; manual assembly permitted</w:t>
            </w:r>
          </w:p>
        </w:tc>
      </w:tr>
      <w:tr>
        <w:trPr>
          <w:cantSplit w:val="false"/>
        </w:trPr>
        <w:tc>
          <w:tcPr>
            <w:tcW w:type="dxa" w:w="1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Level 2 — Structured</w:t>
            </w:r>
          </w:p>
        </w:tc>
        <w:tc>
          <w:tcPr>
            <w:tcW w:type="dxa" w:w="52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Periodic packages are submitted on the profile’s cadence in the defined format and pass structural and referential validation.</w:t>
            </w:r>
          </w:p>
        </w:tc>
        <w:tc>
          <w:tcPr>
            <w:tcW w:type="dxa" w:w="26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Most operators</w:t>
            </w:r>
          </w:p>
        </w:tc>
      </w:tr>
      <w:tr>
        <w:trPr>
          <w:cantSplit w:val="false"/>
        </w:trPr>
        <w:tc>
          <w:tcPr>
            <w:tcW w:type="dxa" w:w="1900"/>
            <w:tcMar>
              <w:top w:type="dxa" w:w="50"/>
              <w:left w:type="dxa" w:w="80"/>
              <w:bottom w:type="dxa" w:w="50"/>
              <w:right w:type="dxa" w:w="80"/>
            </w:tcMar>
          </w:tcPr>
          <w:p>
            <w:pPr>
              <w:spacing w:after="0" w:line="230"/>
            </w:pPr>
            <w:r>
              <w:rPr>
                <w:rFonts w:ascii="Arial" w:cs="Arial" w:eastAsia="Arial" w:hAnsi="Arial"/>
                <w:sz w:val="18"/>
                <w:szCs w:val="18"/>
              </w:rPr>
              <w:t xml:space="preserve">Level 3 — Continuous</w:t>
            </w:r>
          </w:p>
        </w:tc>
        <w:tc>
          <w:tcPr>
            <w:tcW w:type="dxa" w:w="5200"/>
            <w:tcMar>
              <w:top w:type="dxa" w:w="50"/>
              <w:left w:type="dxa" w:w="80"/>
              <w:bottom w:type="dxa" w:w="50"/>
              <w:right w:type="dxa" w:w="80"/>
            </w:tcMar>
          </w:tcPr>
          <w:p>
            <w:pPr>
              <w:spacing w:after="0" w:line="230"/>
            </w:pPr>
            <w:r>
              <w:rPr>
                <w:rFonts w:ascii="Arial" w:cs="Arial" w:eastAsia="Arial" w:hAnsi="Arial"/>
                <w:sz w:val="18"/>
                <w:szCs w:val="18"/>
              </w:rPr>
              <w:t xml:space="preserve">Records are generated as events occur, exceptions are tracked to closure with ageing, and the authority may pull a period on request.</w:t>
            </w:r>
          </w:p>
        </w:tc>
        <w:tc>
          <w:tcPr>
            <w:tcW w:type="dxa" w:w="2646"/>
            <w:tcMar>
              <w:top w:type="dxa" w:w="50"/>
              <w:left w:type="dxa" w:w="80"/>
              <w:bottom w:type="dxa" w:w="50"/>
              <w:right w:type="dxa" w:w="80"/>
            </w:tcMar>
          </w:tcPr>
          <w:p>
            <w:pPr>
              <w:spacing w:after="0" w:line="230"/>
            </w:pPr>
            <w:r>
              <w:rPr>
                <w:rFonts w:ascii="Arial" w:cs="Arial" w:eastAsia="Arial" w:hAnsi="Arial"/>
                <w:sz w:val="18"/>
                <w:szCs w:val="18"/>
              </w:rPr>
              <w:t xml:space="preserve">Large or multi-licence operator; operators connected to a central system</w:t>
            </w:r>
          </w:p>
        </w:tc>
      </w:tr>
    </w:tbl>
    <w:p>
      <w:pPr>
        <w:spacing w:after="120" w:line="264"/>
      </w:pPr>
      <w:r>
        <w:rPr>
          <w:rFonts w:ascii="Arial" w:cs="Arial" w:eastAsia="Arial" w:hAnsi="Arial"/>
          <w:sz w:val="20"/>
          <w:szCs w:val="20"/>
        </w:rPr>
        <w:t xml:space="preserve">An operator declares its level in the conformance statement at Annex D, signed by the responsible officer.</w:t>
      </w:r>
    </w:p>
    <w:p>
      <w:pPr>
        <w:pStyle w:val="Heading1"/>
        <w:spacing w:after="140" w:before="320"/>
      </w:pPr>
      <w:r>
        <w:rPr>
          <w:rFonts w:ascii="Arial" w:cs="Arial" w:eastAsia="Arial" w:hAnsi="Arial"/>
          <w:b/>
          <w:bCs/>
          <w:color w:val="1F3864"/>
          <w:sz w:val="28"/>
          <w:szCs w:val="28"/>
        </w:rPr>
        <w:t xml:space="preserve">11. Validation</w:t>
      </w:r>
    </w:p>
    <w:p>
      <w:pPr>
        <w:spacing w:after="120" w:line="264"/>
      </w:pPr>
      <w:r>
        <w:rPr>
          <w:rFonts w:ascii="Arial" w:cs="Arial" w:eastAsia="Arial" w:hAnsi="Arial"/>
          <w:sz w:val="20"/>
          <w:szCs w:val="20"/>
        </w:rPr>
        <w:t xml:space="preserve">A format helps only if conformance can be checked mechanically. Validation is defined here by class, not by rule, so that rules can evolve without reopening the Standard.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900"/>
        <w:gridCol w:w="2800"/>
        <w:gridCol w:w="5046"/>
      </w:tblGrid>
      <w:tr>
        <w:trPr>
          <w:tblHeader/>
        </w:trPr>
        <w:tc>
          <w:tcPr>
            <w:tcW w:type="dxa" w:w="19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Class</w:t>
            </w:r>
          </w:p>
        </w:tc>
        <w:tc>
          <w:tcPr>
            <w:tcW w:type="dxa" w:w="28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Question it answers</w:t>
            </w:r>
          </w:p>
        </w:tc>
        <w:tc>
          <w:tcPr>
            <w:tcW w:type="dxa" w:w="50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Examples</w:t>
            </w:r>
          </w:p>
        </w:tc>
      </w:tr>
      <w:tr>
        <w:trPr>
          <w:cantSplit w:val="false"/>
        </w:trPr>
        <w:tc>
          <w:tcPr>
            <w:tcW w:type="dxa" w:w="1900"/>
            <w:tcMar>
              <w:top w:type="dxa" w:w="50"/>
              <w:left w:type="dxa" w:w="80"/>
              <w:bottom w:type="dxa" w:w="50"/>
              <w:right w:type="dxa" w:w="80"/>
            </w:tcMar>
          </w:tcPr>
          <w:p>
            <w:pPr>
              <w:spacing w:after="0" w:line="230"/>
            </w:pPr>
            <w:r>
              <w:rPr>
                <w:rFonts w:ascii="Arial" w:cs="Arial" w:eastAsia="Arial" w:hAnsi="Arial"/>
                <w:sz w:val="18"/>
                <w:szCs w:val="18"/>
              </w:rPr>
              <w:t xml:space="preserve">Structural</w:t>
            </w:r>
          </w:p>
        </w:tc>
        <w:tc>
          <w:tcPr>
            <w:tcW w:type="dxa" w:w="2800"/>
            <w:tcMar>
              <w:top w:type="dxa" w:w="50"/>
              <w:left w:type="dxa" w:w="80"/>
              <w:bottom w:type="dxa" w:w="50"/>
              <w:right w:type="dxa" w:w="80"/>
            </w:tcMar>
          </w:tcPr>
          <w:p>
            <w:pPr>
              <w:spacing w:after="0" w:line="230"/>
            </w:pPr>
            <w:r>
              <w:rPr>
                <w:rFonts w:ascii="Arial" w:cs="Arial" w:eastAsia="Arial" w:hAnsi="Arial"/>
                <w:sz w:val="18"/>
                <w:szCs w:val="18"/>
              </w:rPr>
              <w:t xml:space="preserve">Is the package well formed?</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Required fields present; types and enumerations valid; manifest hashes match the files</w:t>
            </w:r>
          </w:p>
        </w:tc>
      </w:tr>
      <w:tr>
        <w:trPr>
          <w:cantSplit w:val="false"/>
        </w:trPr>
        <w:tc>
          <w:tcPr>
            <w:tcW w:type="dxa" w:w="1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Referential</w:t>
            </w:r>
          </w:p>
        </w:tc>
        <w:tc>
          <w:tcPr>
            <w:tcW w:type="dxa" w:w="28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Does the package hold together?</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Every payment references an instrument in R2 and a provider in R10; every check reference resolves; each transfer is booked once; statement totals agree with the records behind them</w:t>
            </w:r>
          </w:p>
        </w:tc>
      </w:tr>
      <w:tr>
        <w:trPr>
          <w:cantSplit w:val="false"/>
        </w:trPr>
        <w:tc>
          <w:tcPr>
            <w:tcW w:type="dxa" w:w="1900"/>
            <w:tcMar>
              <w:top w:type="dxa" w:w="50"/>
              <w:left w:type="dxa" w:w="80"/>
              <w:bottom w:type="dxa" w:w="50"/>
              <w:right w:type="dxa" w:w="80"/>
            </w:tcMar>
          </w:tcPr>
          <w:p>
            <w:pPr>
              <w:spacing w:after="0" w:line="230"/>
            </w:pPr>
            <w:r>
              <w:rPr>
                <w:rFonts w:ascii="Arial" w:cs="Arial" w:eastAsia="Arial" w:hAnsi="Arial"/>
                <w:sz w:val="18"/>
                <w:szCs w:val="18"/>
              </w:rPr>
              <w:t xml:space="preserve">Profile conformance</w:t>
            </w:r>
          </w:p>
        </w:tc>
        <w:tc>
          <w:tcPr>
            <w:tcW w:type="dxa" w:w="2800"/>
            <w:tcMar>
              <w:top w:type="dxa" w:w="50"/>
              <w:left w:type="dxa" w:w="80"/>
              <w:bottom w:type="dxa" w:w="50"/>
              <w:right w:type="dxa" w:w="80"/>
            </w:tcMar>
          </w:tcPr>
          <w:p>
            <w:pPr>
              <w:spacing w:after="0" w:line="230"/>
            </w:pPr>
            <w:r>
              <w:rPr>
                <w:rFonts w:ascii="Arial" w:cs="Arial" w:eastAsia="Arial" w:hAnsi="Arial"/>
                <w:sz w:val="18"/>
                <w:szCs w:val="18"/>
              </w:rPr>
              <w:t xml:space="preserve">Does the evidence show the control operated under this jurisdiction’s rules?</w:t>
            </w:r>
          </w:p>
        </w:tc>
        <w:tc>
          <w:tcPr>
            <w:tcW w:type="dxa" w:w="5046"/>
            <w:tcMar>
              <w:top w:type="dxa" w:w="50"/>
              <w:left w:type="dxa" w:w="80"/>
              <w:bottom w:type="dxa" w:w="50"/>
              <w:right w:type="dxa" w:w="80"/>
            </w:tcMar>
          </w:tcPr>
          <w:p>
            <w:pPr>
              <w:spacing w:after="0" w:line="230"/>
            </w:pPr>
            <w:r>
              <w:rPr>
                <w:rFonts w:ascii="Arial" w:cs="Arial" w:eastAsia="Arial" w:hAnsi="Arial"/>
                <w:sz w:val="18"/>
                <w:szCs w:val="18"/>
              </w:rPr>
              <w:t xml:space="preserve">Checks precede crediting; payouts follow the profile’s closed-loop rule or carry a justification; no credit-funded instrument where credit is prohibited; payout times within the profile’s deadline; coverage at or above the required level</w:t>
            </w:r>
          </w:p>
        </w:tc>
      </w:tr>
      <w:tr>
        <w:trPr>
          <w:cantSplit w:val="false"/>
        </w:trPr>
        <w:tc>
          <w:tcPr>
            <w:tcW w:type="dxa" w:w="19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Completeness</w:t>
            </w:r>
          </w:p>
        </w:tc>
        <w:tc>
          <w:tcPr>
            <w:tcW w:type="dxa" w:w="28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Is anything missing that should be there?</w:t>
            </w:r>
          </w:p>
        </w:tc>
        <w:tc>
          <w:tcPr>
            <w:tcW w:type="dxa" w:w="5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External movements on inventory locations that appear in no record; rail references the external source does not confirm; funding instruments missing from R2; periods with no statement; differences no exception owns; exceptions open beyond their ageing limit</w:t>
            </w:r>
          </w:p>
        </w:tc>
      </w:tr>
    </w:tbl>
    <w:p>
      <w:pPr>
        <w:spacing w:after="120" w:line="264"/>
      </w:pPr>
      <w:r>
        <w:rPr>
          <w:rFonts w:ascii="Arial" w:cs="Arial" w:eastAsia="Arial" w:hAnsi="Arial"/>
          <w:sz w:val="20"/>
          <w:szCs w:val="20"/>
        </w:rPr>
        <w:t xml:space="preserve">The catalogue of individual checks, their severities, the tolerances that separate a rounding difference from a discrepancy, and the materiality thresholds that make an exception reportable are deliberately not fixed in this Standard. They belong to each authority to set, and they will change more often than the format. They are maintained separately as a versioned conformance suite, so that a package can be tested against a named suite version and a named profile version, and the result reproduced later.</w:t>
      </w:r>
    </w:p>
    <w:p>
      <w:pPr>
        <w:spacing w:after="120" w:line="264"/>
      </w:pPr>
      <w:r>
        <w:rPr>
          <w:rFonts w:ascii="Arial" w:cs="Arial" w:eastAsia="Arial" w:hAnsi="Arial"/>
          <w:sz w:val="20"/>
          <w:szCs w:val="20"/>
        </w:rPr>
        <w:t xml:space="preserve">Wherever an independent source exists — the chain for virtual assets, bank and provider statements, an authority’s own central system — completeness is checked against that source and not only against the operator’s account of it.</w:t>
      </w:r>
    </w:p>
    <w:p>
      <w:pPr>
        <w:spacing w:after="120" w:line="264"/>
      </w:pPr>
      <w:r>
        <w:rPr>
          <w:rFonts w:ascii="Arial" w:cs="Arial" w:eastAsia="Arial" w:hAnsi="Arial"/>
          <w:sz w:val="20"/>
          <w:szCs w:val="20"/>
        </w:rPr>
        <w:t xml:space="preserve">An open reference validator for the Structural and Referential classes, validator-lite, is published under the Apache License 2.0 at github.com/ctres-standard/validator-lite. Validation under the Profile conformance and Completeness classes depends on the parameters this section leaves to each authority and is provided separately. No validator is a condition of using this Standard; an implementation validated by any other means is equally conformant.</w:t>
      </w:r>
    </w:p>
    <w:p>
      <w:pPr>
        <w:pStyle w:val="Heading1"/>
        <w:spacing w:after="140" w:before="320"/>
      </w:pPr>
      <w:r>
        <w:rPr>
          <w:rFonts w:ascii="Arial" w:cs="Arial" w:eastAsia="Arial" w:hAnsi="Arial"/>
          <w:b/>
          <w:bCs/>
          <w:color w:val="1F3864"/>
          <w:sz w:val="28"/>
          <w:szCs w:val="28"/>
        </w:rPr>
        <w:t xml:space="preserve">12. Data protection, confidentiality and retention</w:t>
      </w:r>
    </w:p>
    <w:p>
      <w:pPr>
        <w:pStyle w:val="ListParagraph"/>
        <w:numPr>
          <w:ilvl w:val="0"/>
          <w:numId w:val="2"/>
        </w:numPr>
        <w:spacing w:after="60" w:line="264"/>
      </w:pPr>
      <w:r>
        <w:rPr>
          <w:rFonts w:ascii="Arial" w:cs="Arial" w:eastAsia="Arial" w:hAnsi="Arial"/>
          <w:sz w:val="20"/>
          <w:szCs w:val="20"/>
        </w:rPr>
        <w:t xml:space="preserve">Periodic packages carry pseudonymous player references, masked account numbers and hashed phone numbers. Names, addresses and identity documents are not included.</w:t>
      </w:r>
    </w:p>
    <w:p>
      <w:pPr>
        <w:pStyle w:val="ListParagraph"/>
        <w:numPr>
          <w:ilvl w:val="0"/>
          <w:numId w:val="2"/>
        </w:numPr>
        <w:spacing w:after="60" w:line="264"/>
      </w:pPr>
      <w:r>
        <w:rPr>
          <w:rFonts w:ascii="Arial" w:cs="Arial" w:eastAsia="Arial" w:hAnsi="Arial"/>
          <w:sz w:val="20"/>
          <w:szCs w:val="20"/>
        </w:rPr>
        <w:t xml:space="preserve">Identity data is provided only in an evidence pack answering a specific lawful request, and travels under the same arrangements as existing regulatory correspondence.</w:t>
      </w:r>
    </w:p>
    <w:p>
      <w:pPr>
        <w:pStyle w:val="ListParagraph"/>
        <w:numPr>
          <w:ilvl w:val="0"/>
          <w:numId w:val="2"/>
        </w:numPr>
        <w:spacing w:after="60" w:line="264"/>
      </w:pPr>
      <w:r>
        <w:rPr>
          <w:rFonts w:ascii="Arial" w:cs="Arial" w:eastAsia="Arial" w:hAnsi="Arial"/>
          <w:sz w:val="20"/>
          <w:szCs w:val="20"/>
        </w:rPr>
        <w:t xml:space="preserve">Retention follows the profile. An operator licensed in several jurisdictions retains for the longest period that applies.</w:t>
      </w:r>
    </w:p>
    <w:p>
      <w:pPr>
        <w:pStyle w:val="ListParagraph"/>
        <w:numPr>
          <w:ilvl w:val="0"/>
          <w:numId w:val="2"/>
        </w:numPr>
        <w:spacing w:after="60" w:line="264"/>
      </w:pPr>
      <w:r>
        <w:rPr>
          <w:rFonts w:ascii="Arial" w:cs="Arial" w:eastAsia="Arial" w:hAnsi="Arial"/>
          <w:sz w:val="20"/>
          <w:szCs w:val="20"/>
        </w:rPr>
        <w:t xml:space="preserve">Suspicious-report confidentiality is preserved: R12 holds references only and is disclosed only to authorities entitled to see it (§4.12).</w:t>
      </w:r>
    </w:p>
    <w:p>
      <w:pPr>
        <w:pStyle w:val="ListParagraph"/>
        <w:numPr>
          <w:ilvl w:val="0"/>
          <w:numId w:val="2"/>
        </w:numPr>
        <w:spacing w:after="60" w:line="264"/>
      </w:pPr>
      <w:r>
        <w:rPr>
          <w:rFonts w:ascii="Arial" w:cs="Arial" w:eastAsia="Arial" w:hAnsi="Arial"/>
          <w:sz w:val="20"/>
          <w:szCs w:val="20"/>
        </w:rPr>
        <w:t xml:space="preserve">Data location follows the profile.</w:t>
      </w:r>
    </w:p>
    <w:p>
      <w:pPr>
        <w:pStyle w:val="ListParagraph"/>
        <w:numPr>
          <w:ilvl w:val="0"/>
          <w:numId w:val="2"/>
        </w:numPr>
        <w:spacing w:after="60" w:line="264"/>
      </w:pPr>
      <w:r>
        <w:rPr>
          <w:rFonts w:ascii="Arial" w:cs="Arial" w:eastAsia="Arial" w:hAnsi="Arial"/>
          <w:sz w:val="20"/>
          <w:szCs w:val="20"/>
        </w:rPr>
        <w:t xml:space="preserve">Virtual-asset addresses are public by nature; the link between an address and a player is not, and is treated as personal data throughout.</w:t>
      </w:r>
    </w:p>
    <w:p>
      <w:pPr>
        <w:pStyle w:val="Heading1"/>
        <w:spacing w:after="140" w:before="320"/>
      </w:pPr>
      <w:r>
        <w:rPr>
          <w:rFonts w:ascii="Arial" w:cs="Arial" w:eastAsia="Arial" w:hAnsi="Arial"/>
          <w:b/>
          <w:bCs/>
          <w:color w:val="1F3864"/>
          <w:sz w:val="28"/>
          <w:szCs w:val="28"/>
        </w:rPr>
        <w:t xml:space="preserve">13. Governance and versioning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200"/>
        <w:gridCol w:w="7546"/>
      </w:tblGrid>
      <w:tr>
        <w:trPr>
          <w:tblHeader/>
        </w:trPr>
        <w:tc>
          <w:tcPr>
            <w:tcW w:type="dxa" w:w="22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Element</w:t>
            </w:r>
          </w:p>
        </w:tc>
        <w:tc>
          <w:tcPr>
            <w:tcW w:type="dxa" w:w="75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Arrangement</w:t>
            </w:r>
          </w:p>
        </w:tc>
      </w:tr>
      <w:tr>
        <w:trPr>
          <w:cantSplit w:val="false"/>
        </w:trPr>
        <w:tc>
          <w:tcPr>
            <w:tcW w:type="dxa" w:w="2200"/>
            <w:tcMar>
              <w:top w:type="dxa" w:w="50"/>
              <w:left w:type="dxa" w:w="80"/>
              <w:bottom w:type="dxa" w:w="50"/>
              <w:right w:type="dxa" w:w="80"/>
            </w:tcMar>
          </w:tcPr>
          <w:p>
            <w:pPr>
              <w:spacing w:after="0" w:line="230"/>
            </w:pPr>
            <w:r>
              <w:rPr>
                <w:rFonts w:ascii="Arial" w:cs="Arial" w:eastAsia="Arial" w:hAnsi="Arial"/>
                <w:sz w:val="18"/>
                <w:szCs w:val="18"/>
              </w:rPr>
              <w:t xml:space="preserve">Editor</w:t>
            </w:r>
          </w:p>
        </w:tc>
        <w:tc>
          <w:tcPr>
            <w:tcW w:type="dxa" w:w="7546"/>
            <w:tcMar>
              <w:top w:type="dxa" w:w="50"/>
              <w:left w:type="dxa" w:w="80"/>
              <w:bottom w:type="dxa" w:w="50"/>
              <w:right w:type="dxa" w:w="80"/>
            </w:tcMar>
          </w:tcPr>
          <w:p>
            <w:pPr>
              <w:spacing w:after="0" w:line="230"/>
            </w:pPr>
            <w:r>
              <w:rPr>
                <w:rFonts w:ascii="Arial" w:cs="Arial" w:eastAsia="Arial" w:hAnsi="Arial"/>
                <w:sz w:val="18"/>
                <w:szCs w:val="18"/>
              </w:rPr>
              <w:t xml:space="preserve">Dmitry Skachko. Maintains the text, the schema, the register of profiles and the conformance suite, and publishes versions.</w:t>
            </w:r>
          </w:p>
        </w:tc>
      </w:tr>
      <w:tr>
        <w:trPr>
          <w:cantSplit w:val="false"/>
        </w:trPr>
        <w:tc>
          <w:tcPr>
            <w:tcW w:type="dxa" w:w="22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Authorities</w:t>
            </w:r>
          </w:p>
        </w:tc>
        <w:tc>
          <w:tcPr>
            <w:tcW w:type="dxa" w:w="75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Own their profiles. Corrections an authority makes to its own profile are adopted as submitted.</w:t>
            </w:r>
          </w:p>
        </w:tc>
      </w:tr>
      <w:tr>
        <w:trPr>
          <w:cantSplit w:val="false"/>
        </w:trPr>
        <w:tc>
          <w:tcPr>
            <w:tcW w:type="dxa" w:w="2200"/>
            <w:tcMar>
              <w:top w:type="dxa" w:w="50"/>
              <w:left w:type="dxa" w:w="80"/>
              <w:bottom w:type="dxa" w:w="50"/>
              <w:right w:type="dxa" w:w="80"/>
            </w:tcMar>
          </w:tcPr>
          <w:p>
            <w:pPr>
              <w:spacing w:after="0" w:line="230"/>
            </w:pPr>
            <w:r>
              <w:rPr>
                <w:rFonts w:ascii="Arial" w:cs="Arial" w:eastAsia="Arial" w:hAnsi="Arial"/>
                <w:sz w:val="18"/>
                <w:szCs w:val="18"/>
              </w:rPr>
              <w:t xml:space="preserve">Contributors</w:t>
            </w:r>
          </w:p>
        </w:tc>
        <w:tc>
          <w:tcPr>
            <w:tcW w:type="dxa" w:w="7546"/>
            <w:tcMar>
              <w:top w:type="dxa" w:w="50"/>
              <w:left w:type="dxa" w:w="80"/>
              <w:bottom w:type="dxa" w:w="50"/>
              <w:right w:type="dxa" w:w="80"/>
            </w:tcMar>
          </w:tcPr>
          <w:p>
            <w:pPr>
              <w:spacing w:after="0" w:line="230"/>
            </w:pPr>
            <w:r>
              <w:rPr>
                <w:rFonts w:ascii="Arial" w:cs="Arial" w:eastAsia="Arial" w:hAnsi="Arial"/>
                <w:sz w:val="18"/>
                <w:szCs w:val="18"/>
              </w:rPr>
              <w:t xml:space="preserve">Operators, suppliers, auditors and associations comment through the public issue tracker at github.com/ctres-standard/spec or to hello@ctres.org. Substantive changes are published for comment before adoption.</w:t>
            </w:r>
          </w:p>
        </w:tc>
      </w:tr>
      <w:tr>
        <w:trPr>
          <w:cantSplit w:val="false"/>
        </w:trPr>
        <w:tc>
          <w:tcPr>
            <w:tcW w:type="dxa" w:w="22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Versioning</w:t>
            </w:r>
          </w:p>
        </w:tc>
        <w:tc>
          <w:tcPr>
            <w:tcW w:type="dxa" w:w="75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Major versions change the record model; minor versions add fields, rails or profiles; patches correct text. Profiles, mapping files and the conformance suite are versioned separately.</w:t>
            </w:r>
          </w:p>
        </w:tc>
      </w:tr>
      <w:tr>
        <w:trPr>
          <w:cantSplit w:val="false"/>
        </w:trPr>
        <w:tc>
          <w:tcPr>
            <w:tcW w:type="dxa" w:w="2200"/>
            <w:tcMar>
              <w:top w:type="dxa" w:w="50"/>
              <w:left w:type="dxa" w:w="80"/>
              <w:bottom w:type="dxa" w:w="50"/>
              <w:right w:type="dxa" w:w="80"/>
            </w:tcMar>
          </w:tcPr>
          <w:p>
            <w:pPr>
              <w:spacing w:after="0" w:line="230"/>
            </w:pPr>
            <w:r>
              <w:rPr>
                <w:rFonts w:ascii="Arial" w:cs="Arial" w:eastAsia="Arial" w:hAnsi="Arial"/>
                <w:sz w:val="18"/>
                <w:szCs w:val="18"/>
              </w:rPr>
              <w:t xml:space="preserve">Licence</w:t>
            </w:r>
          </w:p>
        </w:tc>
        <w:tc>
          <w:tcPr>
            <w:tcW w:type="dxa" w:w="7546"/>
            <w:tcMar>
              <w:top w:type="dxa" w:w="50"/>
              <w:left w:type="dxa" w:w="80"/>
              <w:bottom w:type="dxa" w:w="50"/>
              <w:right w:type="dxa" w:w="80"/>
            </w:tcMar>
          </w:tcPr>
          <w:p>
            <w:pPr>
              <w:spacing w:after="0" w:line="230"/>
            </w:pPr>
            <w:r>
              <w:rPr>
                <w:rFonts w:ascii="Arial" w:cs="Arial" w:eastAsia="Arial" w:hAnsi="Arial"/>
                <w:sz w:val="18"/>
                <w:szCs w:val="18"/>
              </w:rPr>
              <w:t xml:space="preserve">The text is licensed under CC BY 4.0. The schema (record types R1–R12, the package manifest and the structure of a jurisdiction profile) and the reference validator for the Structural and Referential classes (§11) are licensed under the Apache License 2.0. Profiles are published in human-readable form in Annex B. Anyone may implement the Standard without fee or permission.</w:t>
            </w:r>
          </w:p>
        </w:tc>
      </w:tr>
      <w:tr>
        <w:trPr>
          <w:cantSplit w:val="false"/>
        </w:trPr>
        <w:tc>
          <w:tcPr>
            <w:tcW w:type="dxa" w:w="22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Conformance claims</w:t>
            </w:r>
          </w:p>
        </w:tc>
        <w:tc>
          <w:tcPr>
            <w:tcW w:type="dxa" w:w="75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“CTRES Conformant” describes an implementation tested against a named conformance suite version. A claim states the suite and profile versions it was tested against.</w:t>
            </w:r>
          </w:p>
        </w:tc>
      </w:tr>
      <w:tr>
        <w:trPr>
          <w:cantSplit w:val="false"/>
        </w:trPr>
        <w:tc>
          <w:tcPr>
            <w:tcW w:type="dxa" w:w="2200"/>
            <w:tcMar>
              <w:top w:type="dxa" w:w="50"/>
              <w:left w:type="dxa" w:w="80"/>
              <w:bottom w:type="dxa" w:w="50"/>
              <w:right w:type="dxa" w:w="80"/>
            </w:tcMar>
          </w:tcPr>
          <w:p>
            <w:pPr>
              <w:spacing w:after="0" w:line="230"/>
            </w:pPr>
            <w:r>
              <w:rPr>
                <w:rFonts w:ascii="Arial" w:cs="Arial" w:eastAsia="Arial" w:hAnsi="Arial"/>
                <w:sz w:val="18"/>
                <w:szCs w:val="18"/>
              </w:rPr>
              <w:t xml:space="preserve">Working group</w:t>
            </w:r>
          </w:p>
        </w:tc>
        <w:tc>
          <w:tcPr>
            <w:tcW w:type="dxa" w:w="7546"/>
            <w:tcMar>
              <w:top w:type="dxa" w:w="50"/>
              <w:left w:type="dxa" w:w="80"/>
              <w:bottom w:type="dxa" w:w="50"/>
              <w:right w:type="dxa" w:w="80"/>
            </w:tcMar>
          </w:tcPr>
          <w:p>
            <w:pPr>
              <w:spacing w:after="0" w:line="230"/>
            </w:pPr>
            <w:r>
              <w:rPr>
                <w:rFonts w:ascii="Arial" w:cs="Arial" w:eastAsia="Arial" w:hAnsi="Arial"/>
                <w:sz w:val="18"/>
                <w:szCs w:val="18"/>
              </w:rPr>
              <w:t xml:space="preserve">The editor proposes to convene a working group of authorities and practitioners once at least three authorities have reviewed their profiles.</w:t>
            </w:r>
          </w:p>
        </w:tc>
      </w:tr>
    </w:tbl>
    <w:p>
      <w:pPr>
        <w:pStyle w:val="Heading1"/>
        <w:spacing w:after="140" w:before="320"/>
      </w:pPr>
      <w:r>
        <w:rPr>
          <w:rFonts w:ascii="Arial" w:cs="Arial" w:eastAsia="Arial" w:hAnsi="Arial"/>
          <w:b/>
          <w:bCs/>
          <w:color w:val="1F3864"/>
          <w:sz w:val="28"/>
          <w:szCs w:val="28"/>
        </w:rPr>
        <w:t xml:space="preserve">14. Roadmap</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600"/>
        <w:gridCol w:w="6046"/>
        <w:gridCol w:w="2100"/>
      </w:tblGrid>
      <w:tr>
        <w:trPr>
          <w:tblHeader/>
        </w:trPr>
        <w:tc>
          <w:tcPr>
            <w:tcW w:type="dxa" w:w="16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When</w:t>
            </w:r>
          </w:p>
        </w:tc>
        <w:tc>
          <w:tcPr>
            <w:tcW w:type="dxa" w:w="60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Step</w:t>
            </w:r>
          </w:p>
        </w:tc>
        <w:tc>
          <w:tcPr>
            <w:tcW w:type="dxa" w:w="21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Who</w:t>
            </w:r>
          </w:p>
        </w:tc>
      </w:tr>
      <w:tr>
        <w:trPr>
          <w:cantSplit w:val="false"/>
        </w:trPr>
        <w:tc>
          <w:tcPr>
            <w:tcW w:type="dxa" w:w="1600"/>
            <w:tcMar>
              <w:top w:type="dxa" w:w="50"/>
              <w:left w:type="dxa" w:w="80"/>
              <w:bottom w:type="dxa" w:w="50"/>
              <w:right w:type="dxa" w:w="80"/>
            </w:tcMar>
          </w:tcPr>
          <w:p>
            <w:pPr>
              <w:spacing w:after="0" w:line="230"/>
            </w:pPr>
            <w:r>
              <w:rPr>
                <w:rFonts w:ascii="Arial" w:cs="Arial" w:eastAsia="Arial" w:hAnsi="Arial"/>
                <w:sz w:val="18"/>
                <w:szCs w:val="18"/>
              </w:rPr>
              <w:t xml:space="preserve">Q4 2026</w:t>
            </w:r>
          </w:p>
        </w:tc>
        <w:tc>
          <w:tcPr>
            <w:tcW w:type="dxa" w:w="6046"/>
            <w:tcMar>
              <w:top w:type="dxa" w:w="50"/>
              <w:left w:type="dxa" w:w="80"/>
              <w:bottom w:type="dxa" w:w="50"/>
              <w:right w:type="dxa" w:w="80"/>
            </w:tcMar>
          </w:tcPr>
          <w:p>
            <w:pPr>
              <w:spacing w:after="0" w:line="230"/>
            </w:pPr>
            <w:r>
              <w:rPr>
                <w:rFonts w:ascii="Arial" w:cs="Arial" w:eastAsia="Arial" w:hAnsi="Arial"/>
                <w:sz w:val="18"/>
                <w:szCs w:val="18"/>
              </w:rPr>
              <w:t xml:space="preserve">Authorities review their profiles; corrections adopted as submitted</w:t>
            </w:r>
          </w:p>
        </w:tc>
        <w:tc>
          <w:tcPr>
            <w:tcW w:type="dxa" w:w="2100"/>
            <w:tcMar>
              <w:top w:type="dxa" w:w="50"/>
              <w:left w:type="dxa" w:w="80"/>
              <w:bottom w:type="dxa" w:w="50"/>
              <w:right w:type="dxa" w:w="80"/>
            </w:tcMar>
          </w:tcPr>
          <w:p>
            <w:pPr>
              <w:spacing w:after="0" w:line="230"/>
            </w:pPr>
            <w:r>
              <w:rPr>
                <w:rFonts w:ascii="Arial" w:cs="Arial" w:eastAsia="Arial" w:hAnsi="Arial"/>
                <w:sz w:val="18"/>
                <w:szCs w:val="18"/>
              </w:rPr>
              <w:t xml:space="preserve">Authorities, editor</w:t>
            </w:r>
          </w:p>
        </w:tc>
      </w:tr>
      <w:tr>
        <w:trPr>
          <w:cantSplit w:val="false"/>
        </w:trPr>
        <w:tc>
          <w:tcPr>
            <w:tcW w:type="dxa" w:w="16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Q1 2027</w:t>
            </w:r>
          </w:p>
        </w:tc>
        <w:tc>
          <w:tcPr>
            <w:tcW w:type="dxa" w:w="6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Pilots with volunteer operators across at least three rail mixes: cards and bank transfers; mobile money; virtual assets</w:t>
            </w:r>
          </w:p>
        </w:tc>
        <w:tc>
          <w:tcPr>
            <w:tcW w:type="dxa" w:w="21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Operators, editor</w:t>
            </w:r>
          </w:p>
        </w:tc>
      </w:tr>
      <w:tr>
        <w:trPr>
          <w:cantSplit w:val="false"/>
        </w:trPr>
        <w:tc>
          <w:tcPr>
            <w:tcW w:type="dxa" w:w="1600"/>
            <w:tcMar>
              <w:top w:type="dxa" w:w="50"/>
              <w:left w:type="dxa" w:w="80"/>
              <w:bottom w:type="dxa" w:w="50"/>
              <w:right w:type="dxa" w:w="80"/>
            </w:tcMar>
          </w:tcPr>
          <w:p>
            <w:pPr>
              <w:spacing w:after="0" w:line="230"/>
            </w:pPr>
            <w:r>
              <w:rPr>
                <w:rFonts w:ascii="Arial" w:cs="Arial" w:eastAsia="Arial" w:hAnsi="Arial"/>
                <w:sz w:val="18"/>
                <w:szCs w:val="18"/>
              </w:rPr>
              <w:t xml:space="preserve">Q2 2027</w:t>
            </w:r>
          </w:p>
        </w:tc>
        <w:tc>
          <w:tcPr>
            <w:tcW w:type="dxa" w:w="6046"/>
            <w:tcMar>
              <w:top w:type="dxa" w:w="50"/>
              <w:left w:type="dxa" w:w="80"/>
              <w:bottom w:type="dxa" w:w="50"/>
              <w:right w:type="dxa" w:w="80"/>
            </w:tcMar>
          </w:tcPr>
          <w:p>
            <w:pPr>
              <w:spacing w:after="0" w:line="230"/>
            </w:pPr>
            <w:r>
              <w:rPr>
                <w:rFonts w:ascii="Arial" w:cs="Arial" w:eastAsia="Arial" w:hAnsi="Arial"/>
                <w:sz w:val="18"/>
                <w:szCs w:val="18"/>
              </w:rPr>
              <w:t xml:space="preserve">Version 1.1 with confirmed profiles, versioned mappings to existing formats, and the conformance suite versioned alongside</w:t>
            </w:r>
          </w:p>
        </w:tc>
        <w:tc>
          <w:tcPr>
            <w:tcW w:type="dxa" w:w="2100"/>
            <w:tcMar>
              <w:top w:type="dxa" w:w="50"/>
              <w:left w:type="dxa" w:w="80"/>
              <w:bottom w:type="dxa" w:w="50"/>
              <w:right w:type="dxa" w:w="80"/>
            </w:tcMar>
          </w:tcPr>
          <w:p>
            <w:pPr>
              <w:spacing w:after="0" w:line="230"/>
            </w:pPr>
            <w:r>
              <w:rPr>
                <w:rFonts w:ascii="Arial" w:cs="Arial" w:eastAsia="Arial" w:hAnsi="Arial"/>
                <w:sz w:val="18"/>
                <w:szCs w:val="18"/>
              </w:rPr>
              <w:t xml:space="preserve">Editor</w:t>
            </w:r>
          </w:p>
        </w:tc>
      </w:tr>
      <w:tr>
        <w:trPr>
          <w:cantSplit w:val="false"/>
        </w:trPr>
        <w:tc>
          <w:tcPr>
            <w:tcW w:type="dxa" w:w="16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From July 2027</w:t>
            </w:r>
          </w:p>
        </w:tc>
        <w:tc>
          <w:tcPr>
            <w:tcW w:type="dxa" w:w="60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Alignment review as the EU Anti-Money Laundering Regulation (EU) 2024/1624 begins to apply</w:t>
            </w:r>
          </w:p>
        </w:tc>
        <w:tc>
          <w:tcPr>
            <w:tcW w:type="dxa" w:w="21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Editor, with EU authorities</w:t>
            </w:r>
          </w:p>
        </w:tc>
      </w:tr>
    </w:tbl>
    <w:p>
      <w:pPr>
        <w:pStyle w:val="Heading1"/>
        <w:spacing w:after="140" w:before="320"/>
      </w:pPr>
      <w:r>
        <w:rPr>
          <w:rFonts w:ascii="Arial" w:cs="Arial" w:eastAsia="Arial" w:hAnsi="Arial"/>
          <w:b/>
          <w:bCs/>
          <w:color w:val="1F3864"/>
          <w:sz w:val="28"/>
          <w:szCs w:val="28"/>
        </w:rPr>
        <w:t xml:space="preserve">15. Questions for authorities</w:t>
      </w:r>
    </w:p>
    <w:p>
      <w:pPr>
        <w:spacing w:after="120" w:line="264"/>
      </w:pPr>
      <w:r>
        <w:rPr>
          <w:rFonts w:ascii="Arial" w:cs="Arial" w:eastAsia="Arial" w:hAnsi="Arial"/>
          <w:sz w:val="20"/>
          <w:szCs w:val="20"/>
        </w:rPr>
        <w:t xml:space="preserve">Each answer changes the Standard materially.</w:t>
      </w:r>
    </w:p>
    <w:p>
      <w:pPr>
        <w:pStyle w:val="ListParagraph"/>
        <w:numPr>
          <w:ilvl w:val="0"/>
          <w:numId w:val="2"/>
        </w:numPr>
        <w:spacing w:after="60" w:line="264"/>
      </w:pPr>
      <w:r>
        <w:rPr>
          <w:rFonts w:ascii="Arial" w:cs="Arial" w:eastAsia="Arial" w:hAnsi="Arial"/>
          <w:sz w:val="20"/>
          <w:szCs w:val="20"/>
        </w:rPr>
        <w:t xml:space="preserve">Is the profile for your jurisdiction in Annex B correct, and what is missing?</w:t>
      </w:r>
    </w:p>
    <w:p>
      <w:pPr>
        <w:pStyle w:val="ListParagraph"/>
        <w:numPr>
          <w:ilvl w:val="0"/>
          <w:numId w:val="2"/>
        </w:numPr>
        <w:spacing w:after="60" w:line="264"/>
      </w:pPr>
      <w:r>
        <w:rPr>
          <w:rFonts w:ascii="Arial" w:cs="Arial" w:eastAsia="Arial" w:hAnsi="Arial"/>
          <w:sz w:val="20"/>
          <w:szCs w:val="20"/>
        </w:rPr>
        <w:t xml:space="preserve">Which rails do you expect to permit, restrict or review over the next two years — in particular virtual assets and new instant-payment schemes?</w:t>
      </w:r>
    </w:p>
    <w:p>
      <w:pPr>
        <w:pStyle w:val="ListParagraph"/>
        <w:numPr>
          <w:ilvl w:val="0"/>
          <w:numId w:val="2"/>
        </w:numPr>
        <w:spacing w:after="60" w:line="264"/>
      </w:pPr>
      <w:r>
        <w:rPr>
          <w:rFonts w:ascii="Arial" w:cs="Arial" w:eastAsia="Arial" w:hAnsi="Arial"/>
          <w:sz w:val="20"/>
          <w:szCs w:val="20"/>
        </w:rPr>
        <w:t xml:space="preserve">Would a common operator-side format reduce the cost of connecting operators to your central system or reporting channel?</w:t>
      </w:r>
    </w:p>
    <w:p>
      <w:pPr>
        <w:pStyle w:val="ListParagraph"/>
        <w:numPr>
          <w:ilvl w:val="0"/>
          <w:numId w:val="2"/>
        </w:numPr>
        <w:spacing w:after="60" w:line="264"/>
      </w:pPr>
      <w:r>
        <w:rPr>
          <w:rFonts w:ascii="Arial" w:cs="Arial" w:eastAsia="Arial" w:hAnsi="Arial"/>
          <w:sz w:val="20"/>
          <w:szCs w:val="20"/>
        </w:rPr>
        <w:t xml:space="preserve">Which submission mode fits your supervision: continuous, periodic package, on demand, or a mix?</w:t>
      </w:r>
    </w:p>
    <w:p>
      <w:pPr>
        <w:pStyle w:val="ListParagraph"/>
        <w:numPr>
          <w:ilvl w:val="0"/>
          <w:numId w:val="2"/>
        </w:numPr>
        <w:spacing w:after="60" w:line="264"/>
      </w:pPr>
      <w:r>
        <w:rPr>
          <w:rFonts w:ascii="Arial" w:cs="Arial" w:eastAsia="Arial" w:hAnsi="Arial"/>
          <w:sz w:val="20"/>
          <w:szCs w:val="20"/>
        </w:rPr>
        <w:t xml:space="preserve">Which holder-verification methods do you accept as evidence that an instrument belongs to the player?</w:t>
      </w:r>
    </w:p>
    <w:p>
      <w:pPr>
        <w:pStyle w:val="ListParagraph"/>
        <w:numPr>
          <w:ilvl w:val="0"/>
          <w:numId w:val="2"/>
        </w:numPr>
        <w:spacing w:after="60" w:line="264"/>
      </w:pPr>
      <w:r>
        <w:rPr>
          <w:rFonts w:ascii="Arial" w:cs="Arial" w:eastAsia="Arial" w:hAnsi="Arial"/>
          <w:sz w:val="20"/>
          <w:szCs w:val="20"/>
        </w:rPr>
        <w:t xml:space="preserve">Where player money sits in a provider’s pooled account — a payment provider, mobile money operator or virtual-asset provider — does a provider attestation (R11) satisfy you, or do you expect the operator to evidence it directly?</w:t>
      </w:r>
    </w:p>
    <w:p>
      <w:pPr>
        <w:pStyle w:val="ListParagraph"/>
        <w:numPr>
          <w:ilvl w:val="0"/>
          <w:numId w:val="2"/>
        </w:numPr>
        <w:spacing w:after="60" w:line="264"/>
      </w:pPr>
      <w:r>
        <w:rPr>
          <w:rFonts w:ascii="Arial" w:cs="Arial" w:eastAsia="Arial" w:hAnsi="Arial"/>
          <w:sz w:val="20"/>
          <w:szCs w:val="20"/>
        </w:rPr>
        <w:t xml:space="preserve">Should report references (R12) be visible to you in periodic packages, as counts only, or not at all?</w:t>
      </w:r>
    </w:p>
    <w:p>
      <w:pPr>
        <w:pStyle w:val="ListParagraph"/>
        <w:numPr>
          <w:ilvl w:val="0"/>
          <w:numId w:val="2"/>
        </w:numPr>
        <w:spacing w:after="60" w:line="264"/>
      </w:pPr>
      <w:r>
        <w:rPr>
          <w:rFonts w:ascii="Arial" w:cs="Arial" w:eastAsia="Arial" w:hAnsi="Arial"/>
          <w:sz w:val="20"/>
          <w:szCs w:val="20"/>
        </w:rPr>
        <w:t xml:space="preserve">For federal and provincial systems: would licensing bodies accept a shared base profile with local overrides?</w:t>
      </w:r>
    </w:p>
    <w:p>
      <w:pPr>
        <w:pStyle w:val="ListParagraph"/>
        <w:numPr>
          <w:ilvl w:val="0"/>
          <w:numId w:val="2"/>
        </w:numPr>
        <w:spacing w:after="60" w:line="264"/>
      </w:pPr>
      <w:r>
        <w:rPr>
          <w:rFonts w:ascii="Arial" w:cs="Arial" w:eastAsia="Arial" w:hAnsi="Arial"/>
          <w:sz w:val="20"/>
          <w:szCs w:val="20"/>
        </w:rPr>
        <w:t xml:space="preserve">If you run a central register, hub or data vault, would you publish its schema, so that a mapping file can be maintained and tested against it?</w:t>
      </w:r>
    </w:p>
    <w:p>
      <w:pPr>
        <w:pStyle w:val="ListParagraph"/>
        <w:numPr>
          <w:ilvl w:val="0"/>
          <w:numId w:val="2"/>
        </w:numPr>
        <w:spacing w:after="60" w:line="264"/>
      </w:pPr>
      <w:r>
        <w:rPr>
          <w:rFonts w:ascii="Arial" w:cs="Arial" w:eastAsia="Arial" w:hAnsi="Arial"/>
          <w:sz w:val="20"/>
          <w:szCs w:val="20"/>
        </w:rPr>
        <w:t xml:space="preserve">May operators refer to this Standard, in the policies and procedures they file with you, as the format in which they will evidence their controls?</w:t>
      </w:r>
    </w:p>
    <w:p>
      <w:pPr>
        <w:pStyle w:val="Heading1"/>
        <w:spacing w:after="140" w:before="320"/>
      </w:pPr>
      <w:r>
        <w:rPr>
          <w:rFonts w:ascii="Arial" w:cs="Arial" w:eastAsia="Arial" w:hAnsi="Arial"/>
          <w:b/>
          <w:bCs/>
          <w:color w:val="1F3864"/>
          <w:sz w:val="28"/>
          <w:szCs w:val="28"/>
        </w:rPr>
        <w:t xml:space="preserve">Annex A. Field catalogue</w:t>
      </w:r>
    </w:p>
    <w:p>
      <w:pPr>
        <w:spacing w:after="120" w:line="264"/>
      </w:pPr>
      <w:r>
        <w:rPr>
          <w:rFonts w:ascii="Arial" w:cs="Arial" w:eastAsia="Arial" w:hAnsi="Arial"/>
          <w:sz w:val="20"/>
          <w:szCs w:val="20"/>
        </w:rPr>
        <w:t xml:space="preserve">The extracts in §4 and §6 are sufficient to build a working implementation of every record type. The complete catalogue adds formats, enumerations, conditional requirements and examples for each field, together with the profile schema. It is maintained as a versioned machine-readable schema — JSON Schema for record types R1–R12, the package manifest and the structure of a jurisdiction profile — published under the Apache License 2.0 at github.com/ctres-standard/schema, so that implementations can be tested automatically rather than read.</w:t>
      </w:r>
    </w:p>
    <w:p>
      <w:pPr>
        <w:sectPr>
          <w:headerReference w:type="default" r:id="rId7"/>
          <w:footerReference w:type="default" r:id="rId8"/>
          <w:pgSz w:w="11906" w:h="16838" w:orient="portrait"/>
          <w:pgMar w:top="1000" w:right="1080" w:bottom="1000" w:left="1080" w:header="708" w:footer="708" w:gutter="0"/>
          <w:pgNumType/>
          <w:docGrid w:linePitch="360"/>
        </w:sectPr>
      </w:pPr>
    </w:p>
    <w:p>
      <w:pPr>
        <w:pStyle w:val="Heading1"/>
        <w:spacing w:after="140" w:before="320"/>
      </w:pPr>
      <w:r>
        <w:rPr>
          <w:rFonts w:ascii="Arial" w:cs="Arial" w:eastAsia="Arial" w:hAnsi="Arial"/>
          <w:b/>
          <w:bCs/>
          <w:color w:val="1F3864"/>
          <w:sz w:val="28"/>
          <w:szCs w:val="28"/>
        </w:rPr>
        <w:t xml:space="preserve">Annex B. Jurisdiction profiles</w:t>
      </w:r>
    </w:p>
    <w:p>
      <w:pPr>
        <w:spacing w:after="120" w:line="264"/>
      </w:pPr>
      <w:r>
        <w:rPr>
          <w:rFonts w:ascii="Arial" w:cs="Arial" w:eastAsia="Arial" w:hAnsi="Arial"/>
          <w:sz w:val="18"/>
          <w:szCs w:val="18"/>
        </w:rPr>
        <w:t xml:space="preserve">Readings of published sources as at 2 October 2026, summarised to the parameters in §5 and grouped by region. They are a reference, not legal advice. “Not found” means that no published rule was located, not that none exists; “to be confirmed” marks a reading the sources did not settle. Each row is offered to the authority concerned for review, and a corrected row replaces this one as submitted.</w:t>
      </w:r>
    </w:p>
    <w:tbl>
      <w:tblPr>
        <w:tblW w:type="dxa" w:w="14678"/>
        <w:tblBorders>
          <w:top w:val="single" w:color="auto" w:sz="4"/>
          <w:left w:val="single" w:color="auto" w:sz="4"/>
          <w:bottom w:val="single" w:color="auto" w:sz="4"/>
          <w:right w:val="single" w:color="auto" w:sz="4"/>
          <w:insideH w:val="single" w:color="auto" w:sz="4"/>
          <w:insideV w:val="single" w:color="auto" w:sz="4"/>
        </w:tblBorders>
      </w:tblPr>
      <w:tblGrid>
        <w:gridCol w:w="1750"/>
        <w:gridCol w:w="2900"/>
        <w:gridCol w:w="2550"/>
        <w:gridCol w:w="3050"/>
        <w:gridCol w:w="2028"/>
        <w:gridCol w:w="2400"/>
      </w:tblGrid>
      <w:tr>
        <w:trPr>
          <w:tblHeader/>
        </w:trPr>
        <w:tc>
          <w:tcPr>
            <w:tcW w:type="dxa" w:w="1750"/>
            <w:shd w:fill="1F3864" w:val="clear"/>
            <w:tcMar>
              <w:top w:type="dxa" w:w="50"/>
              <w:left w:type="dxa" w:w="80"/>
              <w:bottom w:type="dxa" w:w="50"/>
              <w:right w:type="dxa" w:w="80"/>
            </w:tcMar>
          </w:tcPr>
          <w:p>
            <w:pPr>
              <w:spacing w:after="0" w:line="230"/>
            </w:pPr>
            <w:r>
              <w:rPr>
                <w:rFonts w:ascii="Arial" w:cs="Arial" w:eastAsia="Arial" w:hAnsi="Arial"/>
                <w:b/>
                <w:bCs/>
                <w:color w:val="FFFFFF"/>
                <w:sz w:val="15"/>
                <w:szCs w:val="15"/>
              </w:rPr>
              <w:t xml:space="preserve">Jurisdiction</w:t>
            </w:r>
          </w:p>
        </w:tc>
        <w:tc>
          <w:tcPr>
            <w:tcW w:type="dxa" w:w="2900"/>
            <w:shd w:fill="1F3864" w:val="clear"/>
            <w:tcMar>
              <w:top w:type="dxa" w:w="50"/>
              <w:left w:type="dxa" w:w="80"/>
              <w:bottom w:type="dxa" w:w="50"/>
              <w:right w:type="dxa" w:w="80"/>
            </w:tcMar>
          </w:tcPr>
          <w:p>
            <w:pPr>
              <w:spacing w:after="0" w:line="230"/>
            </w:pPr>
            <w:r>
              <w:rPr>
                <w:rFonts w:ascii="Arial" w:cs="Arial" w:eastAsia="Arial" w:hAnsi="Arial"/>
                <w:b/>
                <w:bCs/>
                <w:color w:val="FFFFFF"/>
                <w:sz w:val="15"/>
                <w:szCs w:val="15"/>
              </w:rPr>
              <w:t xml:space="preserve">Rails and virtual assets</w:t>
            </w:r>
          </w:p>
        </w:tc>
        <w:tc>
          <w:tcPr>
            <w:tcW w:type="dxa" w:w="2550"/>
            <w:shd w:fill="1F3864" w:val="clear"/>
            <w:tcMar>
              <w:top w:type="dxa" w:w="50"/>
              <w:left w:type="dxa" w:w="80"/>
              <w:bottom w:type="dxa" w:w="50"/>
              <w:right w:type="dxa" w:w="80"/>
            </w:tcMar>
          </w:tcPr>
          <w:p>
            <w:pPr>
              <w:spacing w:after="0" w:line="230"/>
            </w:pPr>
            <w:r>
              <w:rPr>
                <w:rFonts w:ascii="Arial" w:cs="Arial" w:eastAsia="Arial" w:hAnsi="Arial"/>
                <w:b/>
                <w:bCs/>
                <w:color w:val="FFFFFF"/>
                <w:sz w:val="15"/>
                <w:szCs w:val="15"/>
              </w:rPr>
              <w:t xml:space="preserve">Ownership, closed loop, payouts</w:t>
            </w:r>
          </w:p>
        </w:tc>
        <w:tc>
          <w:tcPr>
            <w:tcW w:type="dxa" w:w="3050"/>
            <w:shd w:fill="1F3864" w:val="clear"/>
            <w:tcMar>
              <w:top w:type="dxa" w:w="50"/>
              <w:left w:type="dxa" w:w="80"/>
              <w:bottom w:type="dxa" w:w="50"/>
              <w:right w:type="dxa" w:w="80"/>
            </w:tcMar>
          </w:tcPr>
          <w:p>
            <w:pPr>
              <w:spacing w:after="0" w:line="230"/>
            </w:pPr>
            <w:r>
              <w:rPr>
                <w:rFonts w:ascii="Arial" w:cs="Arial" w:eastAsia="Arial" w:hAnsi="Arial"/>
                <w:b/>
                <w:bCs/>
                <w:color w:val="FFFFFF"/>
                <w:sz w:val="15"/>
                <w:szCs w:val="15"/>
              </w:rPr>
              <w:t xml:space="preserve">Thresholds and reports</w:t>
            </w:r>
          </w:p>
        </w:tc>
        <w:tc>
          <w:tcPr>
            <w:tcW w:type="dxa" w:w="2028"/>
            <w:shd w:fill="1F3864" w:val="clear"/>
            <w:tcMar>
              <w:top w:type="dxa" w:w="50"/>
              <w:left w:type="dxa" w:w="80"/>
              <w:bottom w:type="dxa" w:w="50"/>
              <w:right w:type="dxa" w:w="80"/>
            </w:tcMar>
          </w:tcPr>
          <w:p>
            <w:pPr>
              <w:spacing w:after="0" w:line="230"/>
            </w:pPr>
            <w:r>
              <w:rPr>
                <w:rFonts w:ascii="Arial" w:cs="Arial" w:eastAsia="Arial" w:hAnsi="Arial"/>
                <w:b/>
                <w:bCs/>
                <w:color w:val="FFFFFF"/>
                <w:sz w:val="15"/>
                <w:szCs w:val="15"/>
              </w:rPr>
              <w:t xml:space="preserve">Player funds</w:t>
            </w:r>
          </w:p>
        </w:tc>
        <w:tc>
          <w:tcPr>
            <w:tcW w:type="dxa" w:w="2400"/>
            <w:shd w:fill="1F3864" w:val="clear"/>
            <w:tcMar>
              <w:top w:type="dxa" w:w="50"/>
              <w:left w:type="dxa" w:w="80"/>
              <w:bottom w:type="dxa" w:w="50"/>
              <w:right w:type="dxa" w:w="80"/>
            </w:tcMar>
          </w:tcPr>
          <w:p>
            <w:pPr>
              <w:spacing w:after="0" w:line="230"/>
            </w:pPr>
            <w:r>
              <w:rPr>
                <w:rFonts w:ascii="Arial" w:cs="Arial" w:eastAsia="Arial" w:hAnsi="Arial"/>
                <w:b/>
                <w:bCs/>
                <w:color w:val="FFFFFF"/>
                <w:sz w:val="15"/>
                <w:szCs w:val="15"/>
              </w:rPr>
              <w:t xml:space="preserve">Reporting and retention</w:t>
            </w:r>
          </w:p>
        </w:tc>
      </w:tr>
      <w:tr>
        <w:trPr>
          <w:cantSplit/>
        </w:trPr>
        <w:tc>
          <w:tcPr>
            <w:tcW w:type="dxa" w:w="14678"/>
            <w:gridSpan w:val="6"/>
            <w:shd w:fill="D9E2F3" w:val="clear"/>
            <w:tcMar>
              <w:top w:type="dxa" w:w="40"/>
              <w:left w:type="dxa" w:w="80"/>
              <w:bottom w:type="dxa" w:w="40"/>
              <w:right w:type="dxa" w:w="80"/>
            </w:tcMar>
          </w:tcPr>
          <w:p>
            <w:pPr>
              <w:spacing w:after="0"/>
            </w:pPr>
            <w:r>
              <w:rPr>
                <w:rFonts w:ascii="Arial" w:cs="Arial" w:eastAsia="Arial" w:hAnsi="Arial"/>
                <w:b/>
                <w:bCs/>
                <w:color w:val="1F3864"/>
                <w:sz w:val="16"/>
                <w:szCs w:val="16"/>
              </w:rPr>
              <w:t xml:space="preserve">Europe</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United Kingdom — Gambling Commission</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Credit cards banned since April 2020, including credit-funded e-wallets. Virtual assets not prohibited by statute; no licensee approved in practice; the Commission began exploring a possible route in 2026, linked to the FCA crypto regime.</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 explicit closed-loop rule; payment methods not in the customer’s name and open-loop systems rated high risk (2026 risk assessment). Financial limit prompted before first deposit.</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at €2,000 for remote casino. Financial vulnerability checks on net deposits over 30 days; staged financial risk assessments announced July 2026. Suspicious activity reports to the NCA.</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Segregation and disclosure of a protection rating (not protected, medium, high), shown at first deposit.</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Quarterly regulatory returns. Retention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Ireland — Gambling Regulatory Authority</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Credit cards and credit-funded digital payments prohibited (s.165, Gambling Regulation Act 2024); buy-now-pay-later excluded by guidance. Virtual assets not addressed in the Act; national AML action plan targets a standard on crypto as a source of funds by Q2 2027.</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Closed-loop payouts planned in the national AML action plan (target Q2 2027; not yet law). Monetary limit tool; excess refunded within 7 days (s.164).</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at €2,000. Suspicious transaction reports to FIU Ireland (goAML) and to Revenue.</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Authority may make rules on segregated customer accounts (s.136); none made yet.</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Record-keeping rules consulted July–August 2026. Retention 5 years, extendable.</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Gibraltar — Gambling Commissioner</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 credit for gaming. No published policy on virtual assets; the Gambling Act 2025 includes crypto currencies in “money’s worth”; DLT businesses are licensed separately by the GFSC.</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Payments to and from a bank account in the customer’s name; enhanced due diligence for every new depositing customer. Withdrawals within 5 working days of verification.</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Suspicious activity reports to the GFIU through Themis; Commissioner notified within 24 hours of suspected money laundering.</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Liabilities separately identifiable and covered by cash or equivalents.</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Quarterly statistical and financial returns; annual AML survey. Retention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Isle of Man — Gambling Supervision Commission</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 credit-card ban found. Virtual assets only under five GSC-approved models (licensing requirements, October 2025); crypto in, fiat out not permitted.</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Same coin in, same coin out (BTC in, BTC out). Winnings to the customer, or to a third party on the customer’s written instruction.</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Identification at account opening; verification once deposits or withdrawals reach €3,000 within 30 days (AML/CFT Code 2019). Suspicious reports to the Isle of Man FIU through Themis.</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Segregated from operating funds and held on trust at an Isle of Man bank.</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Registration and gaming servers on the Island. Retention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Alderney — Alderney Gambling Control Commission</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Card rules not found. Cash may never be accepted from a customer (eGambling Regulations 2009, regs 4 and 6). Virtual assets reportedly not permitted (to be confirmed).</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Additions to customer funds governed by the eGambling Regulations 2009 (reg. 232); same-method rule not found.</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when a customer’s total deposits first reach €3,000 (Schedule 4, as amended from 1 January 2026). Suspicious reports to the Guernsey FIU through Themis.</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Category 1 licensees keep customer balances in a separate bank account held solely for that purpose; cash above player balances.</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Retention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Malta — Malta Gaming Authority; FIAU</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Only payment providers notified to the MGA. Virtual assets permitted under the MGA DLT Policy through VFA-authorised providers; privacy coins excluded; withdrawals in the currency deposited.</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Withdrawals to the source account “where possible”, within 5 working days.</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at €2,000 over a rolling 180 days. Suspicious transaction reports through goAML.</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Legally separate from the operator’s assets; balance at least equal to liabilities, at least 90% in the account and the rest in transit.</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Monthly player-funds report with evidence; real-time mirror of essential regulatory data. Retention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Italy — Agenzia delle Dogane e dei Monopoli</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Only traceable instruments in the account holder’s name; cash only at retail points, up to €100 per week per account. Virtual assets not permitted in practice.</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One account per player per concessionaire; withdrawals to a traceable instrument in the holder’s name.</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Suspicious transaction reports to UIF through Infostat-UIF.</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Account balances usable only for gaming transactions; guarantee lodged in ADM’s favour.</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Real-time exchange with the central system; each transaction receives a unique code before the account moves; infrastructure in the EEA. AML records 10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Greece — Hellenic Gaming Commission</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Bank and credit transfers, debit, credit and prepaid cards, and e-wallets, all through payment service providers. Virtual assets not permitted.</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Instruments owned by the player; ownership confirmed for deposits from €5,000 and withdrawals from €800; winnings to the player’s own EU/EEA account.</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at €2,000; deposits capped at €800 until verification. Suspicious transaction reports to the Anti-Money Laundering Authority.</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Separate player account; any shortfall cured within 3 business days.</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Real-time link through an intermediate control system; certified data “Safe” every 6 months. Gaming data 10 years; AML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Cyprus — National Betting Authority</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Online betting only; online casino prohibited. Funding by card, electronic transfer or e-money; no cash, no credit. Virtual assets only with the Authority’s approval.</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Winnings within 5 working days, only to the account the stakes came from; instruments in another person’s name treated as high risk.</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at €2,000 of deposits. Suspicious reports to MOKAS through goAML; quarterly AML report to the Authority.</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Client account at a credit institution; shortfall fixed within 3 days of month-end.</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Backup server in Cyprus with real-time access for the Authority; national self-exclusion platform. Retention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Portugal — SRIJ</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Only electronic payment instruments in legal tender, via authorised payment service providers (Regulamento 903-B/2015), which excludes virtual assets; instruments disclosed to the regulator; flows through an EU credit-institution account.</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Balances paid only to a payment account the player named and holds, or to a bank account if the instrument cannot take refunds; identity verified before withdrawal.</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at registration and from €2,000. Suspicious reports to the UIF of the Polícia Judiciária.</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€500,000 guarantee per licence (bank guarantee, insurance or deposit) securing legal obligations, including to players, reviewable against balances; separate €100,000 tax guarantee. Segregation to be confirmed.</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Certified system linked in real time; XML financial reports with hourly summaries; central self-exclusion register. Retention at least 7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Spain — Dirección General de Ordenación del Juego</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Regulator-coded list of payment types; no credit, and no payment forms concealing loans (RD 1614/2011 art. 37); no negative balances. Virtual assets reported as not permitted (to be confirmed).</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Withdrawal ordered within 24 hours (RD 1614/2011 art. 35). Each deposit and withdrawal reported with method, provider, last four digits and a holder-verified flag; identity verified within one month before prizes are paid.</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at €2,000, single or linked. Suspicious reports to SEPBLAC without delay on form F19-1; the electronic channel is reserved for credit institutions.</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Player deposits in exclusive, separate current accounts in Spain notified to the regulator, used only for gaming, with limited signing powers (RD 1614/2011 art. 39). Licence guarantees (€2 million initially).</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Internal control system: XML to the regulator’s schema in an EU data warehouse, real-time, daily and monthly; central self-exclusion register (RGIAJ). AML 10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France — Autorité nationale des jeux</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Online betting, horse racing and poker only; no online casino. Payments through EU/EEA payment service providers (Law 2010-476 arts. 17–18). Virtual assets not addressed.</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Holder of the payment account verified; balances repaid only to a single payment account the player holds with an EU/EEA provider (art. 17), immediately — delay allowed only to file a suspicious report.</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Every online player identified at account opening. Suspicious reports to Tracfin through ERMES, in principle before execution.</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Surety, trust, insurance, escrow account or similar mechanism guaranteeing repayment of all player balances in all circumstances (Law 2010-476 art. 15).</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Real-time archiving of all data on a frontal in metropolitan France with a certified data safe (art. 31); national gambling ban register. Data retained 5 years after account closure.</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Netherlands — Kansspelautoriteit</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Instruments from EU-licensed banks, payment or e-money institutions, traceable to the player; anonymous instruments prohibited. Credit-card and virtual-asset rules not found.</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Deposits only from the player’s own account; payout without undue delay, no minimum withdrawal and no wagering requirement on deposited funds.</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Full due diligence before play. Reports to FIU-Nederland through goAML (objective indicator €15,000). Affordability checks from €700 monthly net deposits (€300 for ages 18–23).</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Third-party funds foundation or approved equivalent.</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Operator-hosted Controle Databank in the Netherlands, fed near real time as XML to the regulator’s schema; CRUKS check. AML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Belgium — Gaming Commission</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Credit cards prohibited online. No virtual-asset framework.</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Account in the player’s name and non-transferable; separate account per licence and no transfers between player accounts (law of 18 February 2024).</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€200 weekly deposit cap per operator; an increase needs approval after a National Bank credit-register check. Identification for stakes or winnings of €2,000; suspicious reports to CTIF-CFI through goAML (sole channel since October 2024).</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Permanent data link to the Commission; EPIS exclusion check before play. AML records 10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Germany — Gemeinsame Glücksspielbehörde der Länder</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Direct debit, bank transfer or a card in the player’s name; anonymous instruments banned; virtual assets not permitted.</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Player and payment-account names must match; payouts by the same method to the player’s account.</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Full due diligence at onboarding; suspicious reports to the FIU through goAML. €1,000 monthly cross-operator deposit limit enforced in real time through LUGAS.</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Segregated, insolvency-protected account equal to all player balances.</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LUGAS limit and activity file; OASIS exclusion; Safe-Server holding immutable JSON data. AML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Austria — Federal Ministry of Finance</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Online monopoly (one concession). Bill 594 d.B., in Finance Committee (EU standstill to 5 November 2026), would licence online operators from October 2027 and allow payment blocking of unlicensed operators (3 banking days in draft).</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under the AML act; suspicious reports to A-FIU through goAML. Bill: cross-operator deposit limits (draft: €250 weekly under 26, €1,680 monthly from 26).</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Bill: Safe-Server, limit and exclusion registers from 2027. Retention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Switzerland — ESBK and Gespa</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Online casino only as an extension of a land-based concession; lotteries and betting a monopoly. Virtual assets not accepted; ESBK found in September 2023 that the framework lacks safeguards for crypto.</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Swiss-resident players only; winnings only to accounts in the player’s name; online lottery and betting winnings over CHF 1,000 paid directly to that account (GwV-EJPD art. 21).</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Identity checked at account opening; AML identification at CHF 4,000 within 24 hours (casinos) or CHF 15,000 deposits / CHF 10,000–25,000 winnings within 30 days (lotteries, betting). Reports to MROS through goAML.</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Shared exclusion register, also valid in Liechtenstein since January 2025; DNS blocking. Retention 10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Denmark — Spillemyndigheden</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Deposits only through regulated payment providers; no cash; no credit. Unregulated virtual assets not accepted.</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Identification by national ID and eID; no transfers between accounts; balance paid within 5 working days of closure.</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Full identification at registration; suspicious reports through goAML.</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Entrusted funds in a separate, insolvency-protected bank account.</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Operator-hosted SAFE data vault (XML), sealed daily with a regulator-issued tamper token; ROFUS checks. SAFE 12 months online plus 48 archived; KYC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Sweden — Spelinspektionen</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Only regulated payment providers; no cash online. Since May 2026 no credit-funded play of any kind: credit cards, invoice, buy-now-pay-later.</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 transfers between accounts; balance paid promptly on closure.</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Mandatory deposit limit; suspicious reports to the Financial Intelligence Unit.</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Kept separate from the licensee’s own funds.</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Spelpaus checked before any play; gaming system in Sweden unless approved abroad. Retention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Norway — Lotteri- og stiftelsestilsynet</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State monopoly (Norsk Tipping, Norsk Rikstoto); no gambling on credit.</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One account per operator, with eID.</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Suspicious reports to Økokrim.</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Banks block payments to unlicensed operators by merchant category and named payment facilitators; DNS blocking. Retention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Finland — Lupa- ja valvontavirasto</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Licensed online betting and casino from July 2027 (monopoly until then); no credit-funded play; daily and monthly transfer caps.</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Account holder and bank-account holder expected to match (to be confirmed); balance paid without delay on closure.</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Suspicious reports to the FIU of the National Bureau of Investigation.</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Segregated, with disclosure to players.</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Game and account data to the regulator; national self-exclusion register; payment blocking since 2023. Retention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Estonia — Tax and Customs Board</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Virtual assets not prohibited; several licensees accept them through crypto-provider partners, but must show how a crypto or intermediary payment is proved to come from the player’s account.</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Stakes accepted only from the player’s own account; winnings paid only to the account the player paid in from (licence application requirements).</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Suspicious, unusual and over-limit cash transaction reports to the FIU through its online reporting system.</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Regulator pulls data from operator systems through the national X-tee exchange layer; self-exclusion list. Retention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Latvia — State Revenue Service</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Settlement through a credit-institution account. Supervision transferred to the tax authority in 2026.</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 prize paid to an account not used for deposits (to be confirmed).</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Suspicious reports and threshold declarations to the Financial Intelligence Service through goAML.</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Self-exclusion register; quarterly statements; domain blocking within 5 working days. Retention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Lithuania — Gaming Control Authority</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Stakes only from the player’s payment account to the operator’s.</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Winnings to the gaming account or a payment account the player names; cash payout at a land-based venue on request.</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Suspicious reports to the FNTT.</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Winnings reserve of at least €72,400 in securities, bank funds or cash, restored within 2 calendar days.</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Remote access to operator systems; self-exclusion register; illegal-operator list binding payment providers. System data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Romania — ONJN</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Banking-system instruments; payment processors licensed as gambling suppliers and bound by the operator blacklist.</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Deposits capped at €200 until verification within 30 days; winnings paid within 3 business days.</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Suspicious reports to ONPCSB before execution; cash from €10,000 within 3 working days.</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Separate account at a Romanian bank; guarantee of €2 million (€5 million for casino).</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Safe server and mirror server in Romania; real-time self-exclusion register. Retention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Bulgaria — National Revenue Agency</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Stakes and payouts through a bank account licensed in Bulgaria or the EU; winnings above BGN 5,000 (about €2,500) only by bank transfer.</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at €2,000; suspicious reports to FID-SANS, before the operation where possible.</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Collateral in cash or a bank guarantee.</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Every wager and payout to an Agency server in real time; gambling data stored in Bulgaria; exclusion register; payment institutions barred from serving unlicensed operators. Retention: AML 5 years, otherwise the tax limitation period.</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Hungary — SZTFH</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Transfer, linked card, e-money and carrier billing; online casino reserved to land-based concessionaires.</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Payment-account name must match the player’s; winnings to the player’s own account within 30 days of the claim.</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at winnings of HUF 600,000; suspicious reports to NAV PEI through its online form.</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Remote back-office access; player-protection register including court-ordered restrictions; card payments to unlicensed operators blocked. Gambling data 6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Poland — Ministry of Finance</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Online casino a state monopoly; betting licensed. Payments only through authorised payment institutions.</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Play only through a registered player account; no own-account, third-party or payout-deadline rule found.</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at €2,000; suspicious reports to GIIF through its IT system. Cash and transfers over €15,000 reported within 7 days (to be confirmed for operators).</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Security of PLN 480,000 for online betting, as a bank or insurance guarantee or a cash deposit.</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Register of blocked domains: internet providers block within 48 hours, payment providers stop serving within 30 days. Real-time archiving of game data, kept 5 years from year end. AML retention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Czech Republic — Ministry of Finance</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Cashless, through a registered payment account or instrument in the player’s own name at an EU-authorised provider; cash deposits capped at CZK 10,000 per 24 hours. Virtual assets may not be prizes.</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 deposits from, or withdrawals to, any other account. Winnings credited without undue delay, within 30 days of settlement; withdrawals paid promptly and free of charge.</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Suspicious reports to the FAÚ through its e-form.</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Security deposit of CZK 30–50 million per online game type.</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Daily automated reports; excluded-persons register (self-exclusion, benefit recipients, insolvency) queried by API; blocklist of websites, apps and bank accounts. Account records kept 3 years after closure.</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Slovakia — Gambling Regulatory Authority</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Stakes in cash or cashless; player-account records hold the payment account or card number. From January 2026 payment providers act directly on the regulator’s blacklist, without a court order. Virtual assets: not found.</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Winnings paid within 5 business days of the claim (Gambling Act s.14). No own-account or third-party payment rule found.</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Identification at €1,000; due diligence at €2,000; reports to the FIU of the National Crime Agency.</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Financial guarantee deposited with the regulator, up to €1.5 million depending on the licence.</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Server in Slovakia with free online access for the regulator; excluded-persons register. Server data kept at least to the end of the following calendar year, plus two years of backups (Decree 142/2019).</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Serbia — Games of Chance Administration</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Cashless, plus cash at approved desks; cash pay-ins and cash payouts each capped at RSD 1,175,000 per player in 30 days.</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Deposits only from, and withdrawals only to, the player’s own current account; no transfers between players’ accounts.</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at €2,000; identity checked before any deposit. Reports to the APML.</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Guarantee (amount to be confirmed).</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Every transaction by API in real time; database or mirror in Serbia; monthly payment-channel reports by the 5th through the Administration’s web service. Retention 10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Croatia — Ministry of Finance</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Cards, transfers, e-payments, cash at betting shops; activation vouchers for online casino.</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One registered account for withdrawals, checked against the tax-number register; online casino accounts withdraw winnings only; dormant balances returned after 12 months.</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Reports to the Anti-Money Laundering Office.</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Bank guarantees (from about €398,000 for online casino).</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Real-time link to the Ministry; central exclusion register (2026). Retention 5–10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Bosnia and Herzegovina — entity regulators (Federation; Republika Srpska)</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Federation: payouts at shops, to the player’s virtual account or registered bank account.</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Federation: payout to the registered account within 3 days of the request.</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State-level AML law; FIU within SIPA.</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Federation: bank guarantees (KM 1 million casino, KM 600,000 betting).</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Federation: direct online link to the Tax Administration. Each entity runs its own regime.</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Montenegro — Games of Chance Administration</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Euro only; online limited to land-based licensees; banks can be asked to block payments to unlicensed sites.</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 third-party payment at the cash desk; separate record and promotional accounts.</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Identification at €20 stakes or winnings and at €2,000 transactions.</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Bank guarantees covering winnings.</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Real-time online supervision of all payments in and out. Retention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Kosovo — Tax Administration</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Gambling prohibited since 2019; no licensed flows.</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applicable.</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FIU-K.</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applicable.</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A profile would cover payment-side blocking only.</w:t>
            </w:r>
          </w:p>
        </w:tc>
      </w:tr>
      <w:tr>
        <w:trPr>
          <w:cantSplit/>
        </w:trPr>
        <w:tc>
          <w:tcPr>
            <w:tcW w:type="dxa" w:w="14678"/>
            <w:gridSpan w:val="6"/>
            <w:shd w:fill="D9E2F3" w:val="clear"/>
            <w:tcMar>
              <w:top w:type="dxa" w:w="40"/>
              <w:left w:type="dxa" w:w="80"/>
              <w:bottom w:type="dxa" w:w="40"/>
              <w:right w:type="dxa" w:w="80"/>
            </w:tcMar>
          </w:tcPr>
          <w:p>
            <w:pPr>
              <w:spacing w:after="0"/>
            </w:pPr>
            <w:r>
              <w:rPr>
                <w:rFonts w:ascii="Arial" w:cs="Arial" w:eastAsia="Arial" w:hAnsi="Arial"/>
                <w:b/>
                <w:bCs/>
                <w:color w:val="1F3864"/>
                <w:sz w:val="16"/>
                <w:szCs w:val="16"/>
              </w:rPr>
              <w:t xml:space="preserve">Eurasia, Middle East and Asia</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Ukraine — PlayCity</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Non-cash only, through current accounts at Ukrainian banks, with a fiscal receipt per transaction; gambling with credit funds banned; no route for virtual assets.</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One player, one gaming account, one personal bank account; no third-party bets or account use. Spending and time limits set before play; self-restricted players paid out within 5 days.</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Threshold transactions from UAH 55,000 for gambling (UAH 400,000 generally), reported within 5 business days or monthly, by type; suspicious reports immediately; to the State Financial Monitoring Service.</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Bank guarantee or deposit of 7,200 minimum monthly wages securing payment of winnings.</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State Online Monitoring System in pilot (12 operators connected by April 2026; second phase due end 2026): each bet, payout and refund in near real time with a unique identifier. AML records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Georgia — Ministry of Finance; Revenue Service</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GEL only (foreign payments converted to GEL on receipt), by card, licensed payment providers and bank transfer; virtual assets not a lawful means of payment.</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Biometric and age checks against state databases; players aged 25 and over; 5% income tax withheld on withdrawals.</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when accepting funds or paying winnings above GEL 5,000; threshold and suspicious reports to the Financial Monitoring Service.</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Security required for totalisators.</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Connection to the national control system. Player data 5 years; AML records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Armenia — Ministry of Finance; State Revenue Committee</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Cash, e-money and terminal top-ups banned; Armenian bank cards only; banks decline gambling-category payments to unlicensed operators (May 2026).</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Dedicated gaming account funded only from a bank account or card verified as the player’s own; winnings only to a card. Gambling capped at 20% of declared annual income from January 2027.</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Bets, winnings and lottery purchases from AMD 1 million reportable, with suspicious transactions, to the Financial Monitoring Center of the Central Bank.</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Central real-time platform for wagers, deposits and losses (rollout January 2027); five-year self-exclusion across all sites and blocking of unlicensed sites from January 2027.</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Azerbaijan — state operator (Azerlotereya)</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State monopoly: one lottery and one licensed sports-betting operator; casinos allowed only on artificial islands (July 2025), none operating. Payment rules not found; no virtual-asset providers registered.</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Cash transaction reports from AZN 15,000 for lottery and betting organisers; suspicious reports to the Financial Monitoring Service.</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Central system not found. AML records at least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Kazakhstan — Ministry of Tourism and Sports</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Online limited to bookmakers and totalisators; bets and winnings only by electronic payment through the Unified Accounting System (NomadPay); banks reject payments to blacklisted operators. Virtual assets not accepted (to be confirmed).</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Two-step biometric identification; debtors, specified public officials and self-excluded players blocked automatically at the central hub.</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Reports to the Agency for Financial Monitoring; gambling-specific thresholds not found.</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Unified Accounting System (live 5 March 2026) records every bet, payment and winning, stores player data and enforces per-player monthly limits.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Uzbekistan — National Agency for Prospective Projects</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Payments only through the state register, using cards issued or processed in Uzbekistan; crypto-assets barred as a means of payment (to be confirmed). First two licences issued July 2026.</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Remote biometric identification before play; monthly spending cap reported at 10% of verified income (to be confirmed); self-exclusion through the register.</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Reports to the FIU (Department for Combating Economic Crimes).</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Reserve in a separate bank account (75,000 base units for betting and online games).</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Unified State Register of Bets and Players: registrations, bets, deposits and winnings in real time; monthly limits.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United Arab Emirates — GCGRA</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 published list of methods; a new method needs a risk assessment; credit cards only in the player’s own name. Virtual assets not addressed.</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Withdrawals by the deposit method; third-party payments limited or prohibited; national ID at sign-up.</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at AED 11,000, single or linked (Cabinet Resolution 134/2025, art. 3); such amounts must pass through a player account. Suspicious reports immediately to the UAE FIU through goAML.</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Unified Player Database across licensees (in development). Retention 5 years from the transaction or end of the relationship (art. 25).</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India — MeitY; Online Gaming Authority of India</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Online money games prohibited (2025 Act, in force May 2026); banks and payment firms barred from processing them, including virtual tokens.</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applicable online.</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Land casinos report to FIU-IND: cash over ₹10 lakh a month; suspicious reports within 7 days.</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applicable.</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Payment-blocking orders to banks; registration check before processing permitted games. Retention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Philippines — PAGCOR; AMLC; BSP</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Only BSP-licensed payment gateways and channels (PAGCOR, May 2026); e-wallets removed gambling links (August 2025). 2025 BSP draft for a separate capped gambling account not issued (to be confirmed). No virtual-asset rules.</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Government ID and live selfie before deposits (PAGCOR, 2025). Closed-loop rule not found. BSP draft (September 2026): gambling merchants onboarded only by direct acquirers, not aggregators.</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Casino cash transactions over PHP 5 million within 5 working days; suspicious reports by the next working day (AMLC).</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Connection to PAGCOR’s central monitoring with real-time access. Retention 5 years.</w:t>
            </w:r>
          </w:p>
        </w:tc>
      </w:tr>
      <w:tr>
        <w:trPr>
          <w:cantSplit/>
        </w:trPr>
        <w:tc>
          <w:tcPr>
            <w:tcW w:type="dxa" w:w="14678"/>
            <w:gridSpan w:val="6"/>
            <w:shd w:fill="D9E2F3" w:val="clear"/>
            <w:tcMar>
              <w:top w:type="dxa" w:w="40"/>
              <w:left w:type="dxa" w:w="80"/>
              <w:bottom w:type="dxa" w:w="40"/>
              <w:right w:type="dxa" w:w="80"/>
            </w:tcMar>
          </w:tcPr>
          <w:p>
            <w:pPr>
              <w:spacing w:after="0"/>
            </w:pPr>
            <w:r>
              <w:rPr>
                <w:rFonts w:ascii="Arial" w:cs="Arial" w:eastAsia="Arial" w:hAnsi="Arial"/>
                <w:b/>
                <w:bCs/>
                <w:color w:val="1F3864"/>
                <w:sz w:val="16"/>
                <w:szCs w:val="16"/>
              </w:rPr>
              <w:t xml:space="preserve">Africa</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South Africa — National Gambling Board and provincial authorities; FIC</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Online limited to bookmakers licensed by the provinces; vouchers and pay-by-bank common. Betting websites and apps need prior board approval (Western Cape, Eastern Cape). Virtual assets not addressed in gambling law.</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Accounts opened in the customer’s name (provincial rules); Western Cape and Eastern Cape require an ID copy and proof of address. Eastern Cape pays winnings subject to FIC Act checks. No national closed-loop rule found.</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Cash threshold reports from R49,999.99 within 3 days; suspicious transaction reports within 15 days, through goAML. Risk-based due diligence. National 20% tax on online gambling revenue proposed (Treasury, November 2025).</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Set by provincial conditions; not uniform. No segregation rule found in the Western Cape or Eastern Cape betting rules.</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Reporting to the provinces (Eastern Cape: monthly data backups by the 10th); the national monitoring system covers limited payout machines only. Retention 5 years (FIC Act and provincial betting rules).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Malawi — Malawi Gaming and Lotteries Authority; FIA</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Mobile money dominant in practice; no published rules on payment methods. Virtual assets unregulated.</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for casino and remote gaming at MK2 million within 24 hours; cash reports from MK5 million; suspicious transaction reports within 3 days. 15% withholding on winnings at payout.</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Central monitoring system contracted in 2023. Retention 7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Kenya — Gambling Regulatory Authority; FRC; KRA</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Mobile money pay-bills declared to the regulator; payout route by amount — registered mobile wallet up to KES 500,000, wallet or bank up to KES 5 million, bank above. Virtual assets prohibited unless approved. (2026 regulations partly suspended by the High Court pending a hearing.)</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Payouts to the player’s registered wallet or bank account; player-set deposit limits by period.</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Suspicious transaction reports to the FRC within 2 days and to the regulator within 24 hours. Excise duty of 5% on deposits; withholding tax on winnings.</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Separate from operating funds; security bonds.</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Real-time API access for the regulator’s central monitoring; tax-authority integration. Retention 7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Nigeria (Lagos) — Lagos State Lotteries and Gaming Authority; NFIU</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Banks, cards, USSD, wallets and agents; payment gateways to be certified by the regulator (2026); payment data to be held in Nigeria from 2027. Virtual assets not addressed by the gaming regulator.</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 published rule found; national identity number collected.</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5% withholding on net winnings. Suspicious transaction reports to the NFIU within 24 hours, through goAML; cash thresholds of N5 million (individuals) and N10 million (companies).</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Bank guarantee securing winnings under the inter-state framework.</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Regulation by the states since the 2024 Supreme Court ruling; certification of systems. Retention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Ghana — Gaming Commission of Ghana</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Mobile money dominant; online betting licensed by the Gaming Commission. Virtual-asset providers licensed under the 2025 VASP Act (Bank of Ghana); no gaming rule on virtual assets.</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Ghana Card the only ID accepted online; biometric check against the national ID database on each bet and on each claim for winnings (since 2025).</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Suspicious reports to the FIC within 24 hours, through goAML; cash-report threshold set by the FIC per sector (gaming amount not found). 10% withholding on winnings repealed April 2025; 20% tax on gaming revenue.</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Monthly gaming-revenue returns to the tax authority by the 15th; gaming administration and monitoring system in procurement since 2023 (status to be confirmed). Retention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Botswana — Gambling Authority</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Online sports betting under local bookmaker licences since 2025; offshore sites blocked. Mobile money and cards. Virtual-asset providers licensed by NBFIRA (2022 Act); no gambling rule on virtual assets found.</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Identity verification and access controls required of bookmakers; no closed-loop rule found.</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Cash transactions of P10,000 or more reported to the FIA; suspicious reports through goAML (Financial Intelligence Act 2022). A 2026 amendment bill aligning gambling with FATF standards passed in August 2026 (assent to be confirmed).</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Amendment bill links most licensees’ machines to the Authority’s monitoring system; casinos and bingo run their own. Online feed not found. Retention 20 years (Financial Intelligence Act 2022).</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Zimbabwe — Lotteries and Gaming Board</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Mobile money and cards; USD and ZiG in use. Virtual-asset providers register with the FIU (S.I. 99 of 2026); no gaming rule on virtual assets. Online betting rules await the Lotteries and Gaming Amendment Bill.</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when a gaming customer opens an account or transacts US$3,000 or more; suspicious reports to the FIU through goAML. 25% withholding on gross winnings from January 2026, remitted to ZIMRA by the 10th.</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Casino bank guarantee of US$50,000 covering prizes and jackpots.</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Real-time gaming management system announced, not yet live. Monthly tax returns by the 5th. Retention 5 years (Money Laundering and Proceeds of Crime Act).</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Eswatini — Gaming Board</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Online sports betting under bookmaker licences; online casino games prohibited. Regulations under the Gaming Control Act 2022 still pending. Mobile money dominant.</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Clients registered with national ID (2025); minors’ secondary mobile-money wallets to be blocked with the telecoms operators (announced December 2025).</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Purpose checked on cash transactions over E10,000 (others over E20,000); suspicious reports to the FIU within 2 working days (2011 AML Act). Cash-report threshold left to ministerial notice; amount not found.</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Monitoring system proposed, not live. Retention 5 years (2011 AML Act).</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Lesotho — Lesotho Casino Board</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 online licence type (Casino Order 1989; Lotteries and Betting Act 1984); offshore activity only.</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Casino due diligence at M25,000; suspicious reports to the FIU within 7 days (2017 AML Regulations under the 2008 AML Act).</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Retention 5 years (2017 AML Regulations).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Angola — Instituto de Supervisão de Jogos</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Online gaming licensed under the 2024 Gaming Activity Law (Lei 17/24); payment systems in force in Angola only. Kwanza only; foreign currency and virtual assets prohibited; locally incorporated companies only.</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Players identified before buying chips or being paid; prize cheques crossed, in the winner’s name and non-endorsable (ISJ instruction 2/21).</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Identification of online players spending US$2,500 and of winners of US$2,500 or more; suspicious reports to the UIF immediately, through its portal. Prize tax of 10–15% by game type.</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Bank guarantee of US$50,000–400,000 by type of gaming reported (2026 licensing; purpose to be confirmed).</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All gaming traffic and operations to be routed through a central gaming unit to the ISJ’s control infrastructure (2024 law; implementation to be confirmed). Retention 10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Tanzania — Gaming Board of Tanzania</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Cards, transfers, mobile money and vouchers; mobile money dominant.</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One account per player, linked to one nominated bank or mobile-money account; identity verified before any wager.</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Cash of US$10,000 or more and transfers of US$1,000 or more reported within 5 working days; suspicious reports to the FIU (goAML) within 24 hours. Withholding on winnings: 12% sports, 13% land casino, 15% other.</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Security bond available to pay prizes.</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Primary server and financial control system in Tanzania; winnings tax filed and paid electronically by the 7th of the following month. Retention 10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Uganda — National Lotteries and Gaming Regulatory Board</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Mobile money dominant. Tax Procedures Code (Amendment) Bill 2025 would route all stakes and payouts through one gateway licensed by the Bank of Uganda and linked to the tax authority (enactment to be confirmed).</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Players aged 25 and over, checked against ID.</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15% withholding on net winnings (from July 2026). Cash transactions over UGX 20 million reported to the FIA; suspicious reports through goAML.</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Central electronic monitoring system live since 2024, with data shared with the tax authority.</w:t>
            </w:r>
          </w:p>
        </w:tc>
      </w:tr>
      <w:tr>
        <w:trPr>
          <w:cantSplit/>
        </w:trPr>
        <w:tc>
          <w:tcPr>
            <w:tcW w:type="dxa" w:w="14678"/>
            <w:gridSpan w:val="6"/>
            <w:shd w:fill="D9E2F3" w:val="clear"/>
            <w:tcMar>
              <w:top w:type="dxa" w:w="40"/>
              <w:left w:type="dxa" w:w="80"/>
              <w:bottom w:type="dxa" w:w="40"/>
              <w:right w:type="dxa" w:w="80"/>
            </w:tcMar>
          </w:tcPr>
          <w:p>
            <w:pPr>
              <w:spacing w:after="0"/>
            </w:pPr>
            <w:r>
              <w:rPr>
                <w:rFonts w:ascii="Arial" w:cs="Arial" w:eastAsia="Arial" w:hAnsi="Arial"/>
                <w:b/>
                <w:bCs/>
                <w:color w:val="1F3864"/>
                <w:sz w:val="16"/>
                <w:szCs w:val="16"/>
              </w:rPr>
              <w:t xml:space="preserve">The Americas and the Caribbean</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Curaçao — Curaçao Gaming Authority</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Fiat, and virtual assets traded on licensed exchanges; no currency exchange; winnings paid in the currency used. Crypto policy (2026): analytics screening, segregated wallets, same-wallet and same-asset withdrawals by default; transition in four steps, with policy upload by September 2026 and the last steps due December 2026 and June 2027.</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Players must play on their own behalf; play for third parties to be detected.</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Due diligence at NAf 4,000 per gaming day across deposits and withdrawals; unusual transactions from NAf 5,000, including series, to the FIU through goAML. The Caribbean guilder (XCG) replaced the NAf at 1:1.</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Separate account for player deposits and winnings; ring-fencing.</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Incidents through the CGA portal without delay; critical data accessible from a Tier-IV data centre in Curaçao. Retention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Brazil — Secretaria de Prêmios e Apostas; COAF</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Pix, TED, debit and prepaid cards and book transfers only, through institutions authorised by the Central Bank; cash, boletos, cheques, credit cards and virtual assets prohibited.</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Deposits only from a pre-registered account in the bettor’s name (CPF); withdrawals to such an account within 120 minutes. Welfare-recipient screening against SIGAP.</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Suspicion-based reports to COAF by the next business day after analysis; annual nil declaration.</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Separate estate covering balances and open bets; R$5 million financial reserve.</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SIGAP: signed XML files daily (D+2) and monthly, cross-validated. Retention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Argentina — provincial regulators (e.g. IPLyC Buenos Aires, LOTBA, Mendoza); UIF</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Peso accounts; deposits only from the player’s own verified accounts, no cash and no third parties (Buenos Aires Province). Virtual assets not permitted in practice.</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Withdrawals to the account used to deposit; payout instruction within 48 hours (Buenos Aires Province).</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Monthly systematic report on prize payments from 15 minimum wages; suspicious reports within 15 days of concluding suspicion and no later than 150 days after the operation.</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uniform across provinces.</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Regulator access to operator systems (e.g. Buenos Aires Province); more than 15 jurisdictions and no common data standard. Retention 10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Colombia — Coljuegos</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Pesos only; bank accounts, cards, gateways and prepaid cards from supervised entities; foreign and virtual currencies banned. 19% VAT on deposits ended 2025; 2026 VAT annulled; 16% GGR tax for 2026, under court review.</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Only the identified player can withdraw; payout ordered within 72 hours; at most 3 withdrawals a day; at least 50% of deposits wagered before a withdrawal.</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Identification from COP 5 million a day; monthly SIREL reports to the UIAF within 10 days: transactions from COP 5 million and monthly totals from COP 15 million; suspicious reports immediately.</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Colombian bank account covering withdrawable balances; guarantee for prizes.</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Onshore inspection system recording every transaction, as XML to the regulator’s schema. AML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Peru — MINCETUR</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Cash, cards and other means; virtual assets expressly excluded.</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Payout by the player’s chosen method or to an account in their name at a supervised entity; bank transfers within 3 business days.</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Operations register from US$2,500; suspicious reports to UIF-Perú within 24 hours.</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Guarantee of 600 UIT or 3% of net income, whichever is higher.</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Laboratory-certified platforms; data to the MINCETUR data centre. 5 years, or the tax limitation period if longer.</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Mexico — SEGOB</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Internet bets need bank confirmation; cash for tickets and prizes banned from 3,210 UMA; virtual assets not addressed. SEGOB’s draft to replace the 1947 law awaits Security Cabinet review (September 2026).</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Remote bets record the bettor’s account number and identity.</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Identification from 325 UMA; notices to the UIF from 645 UMA by the 17th of the following month, via the SAT portal; 24-hour notices for suspicious cases (new rules from 30 November 2026). UMA 2026: MXN 117.31.</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Bond covering about 60 days of prizes.</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Real-time access for the tax authority (SAT) through an authorised provider; daily XML with the payment method. Retention 10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Chile — Superintendencia de Casinos de Juego</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Online law pending: bill 14.838-03 passed the Senate in general (August 2025) and remains in committee (October 2026). It limits payment means to those authorised by the financial regulator; banks must block unlicensed sites.</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 betting without funds in the account; payment instruments in a minor’s name barred (bill).</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Casinos (UAF Circular 63, from 1 October 2026): due diligence from US$3,000; half-yearly reports of cash operations above US$10,000; suspicious reports to the UAF as soon as possible. Bill extends UAF duties online.</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Liquidity reserve before operating (bill).</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Remote access to platform systems for the regulator and tax authority (SII); technical standards (bill). Casino AML records 5 years.</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Paraguay — CONAJZAR</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Law 7438/2025 and Decree 3846/2025 allow online casino and sports betting by tendered concession; CONAJZAR, now within the tax authority (DNIT), may supervise payment processing and order blocking. Online payment rules not found.</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Identity document required to take part and transact, online modalities included (SEPRELAD Resolution 258/2020).</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FIU: SEPRELAD. Suspicious reports within 24 hours of being classed as suspicious; nil reports after three months without one; due diligence from 8 minimum wages (to be confirmed).</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Not found.</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Gaming systems connected online or in real time to CONAJZAR, certified by independent accredited bodies (Decree 3846/2025). AML records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Panama — Junta de Control de Juegos</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US dollar settlement; online payment rules not found. Law 527 of 2026 lets the JCJ order internet providers to block unlicensed sites, apps and IP addresses.</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Biometric identity and age verification on online platforms; voluntary spending and time limits (Law 527 of 2026, regulations due within six months).</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Cash and quasi-cash transactions from US$10,000 declared to the UAF; suspicious reports to the UAF immediately on detection (Law 23 of 2015, art. 54, as amended in 2019).</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Bond or deposit guaranteeing payment of prizes (to be confirmed).</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Electronic audit system announced; annual JCJ audits of operators (Law 527 of 2026). AML records 5 years from the end of the relationship.</w:t>
            </w:r>
          </w:p>
        </w:tc>
      </w:tr>
      <w:tr>
        <w:trPr>
          <w:cantSplit/>
        </w:trPr>
        <w:tc>
          <w:tcPr>
            <w:tcW w:type="dxa" w:w="1750"/>
            <w:shd w:fill="F2F2F2" w:val="clear"/>
            <w:tcMar>
              <w:top w:type="dxa" w:w="50"/>
              <w:left w:type="dxa" w:w="80"/>
              <w:bottom w:type="dxa" w:w="50"/>
              <w:right w:type="dxa" w:w="80"/>
            </w:tcMar>
          </w:tcPr>
          <w:p>
            <w:pPr>
              <w:spacing w:after="0" w:line="230"/>
            </w:pPr>
            <w:r>
              <w:rPr>
                <w:rFonts w:ascii="Arial" w:cs="Arial" w:eastAsia="Arial" w:hAnsi="Arial"/>
                <w:b/>
                <w:bCs/>
                <w:sz w:val="14"/>
                <w:szCs w:val="14"/>
              </w:rPr>
              <w:t xml:space="preserve">Canada — provincial (AGCO and iGaming Ontario; IGCO British Columbia; AGLC Alberta); FINTRAC</w:t>
            </w:r>
          </w:p>
        </w:tc>
        <w:tc>
          <w:tcPr>
            <w:tcW w:type="dxa" w:w="29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Virtual assets not accepted (Ontario, Alberta); deposits authorised by a financial services provider; no credit. Alberta opened 13 July 2026 under AGLC’s Standards and Requirements for Internet Gaming; British Columbia: online gambling through BCLC’s PlayNow.</w:t>
            </w:r>
          </w:p>
        </w:tc>
        <w:tc>
          <w:tcPr>
            <w:tcW w:type="dxa" w:w="25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Withdrawals only to an account the player legally holds; no transfers between players (Ontario). Alberta: geolocation blocking VPNs and proxies; source-of-funds corroboration where risk requires.</w:t>
            </w:r>
          </w:p>
        </w:tc>
        <w:tc>
          <w:tcPr>
            <w:tcW w:type="dxa" w:w="305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FINTRAC reports from C$10,000 (large cash, large virtual currency, casino disbursement) within 24 hours; suspicious reports as soon as practicable; JSON API. Reporting entity: iGaming Ontario; BCLC; Alberta, AiGC oversees AML (to be confirmed).</w:t>
            </w:r>
          </w:p>
        </w:tc>
        <w:tc>
          <w:tcPr>
            <w:tcW w:type="dxa" w:w="2028"/>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Under iGaming Ontario’s oversight (Ontario); annual agreed-upon procedures. Alberta and British Columbia not found.</w:t>
            </w:r>
          </w:p>
        </w:tc>
        <w:tc>
          <w:tcPr>
            <w:tcW w:type="dxa" w:w="2400"/>
            <w:shd w:fill="F2F2F2" w:val="clear"/>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Weekly revenue data to iGaming Ontario; FINTRAC copies to the AGCO. Alberta: financial reporting to AiGC; data outside Canada needs AGLC approval. IGCO (2026, replacing GPEB) regulates BCLC. Retention 5 years.</w:t>
            </w:r>
          </w:p>
        </w:tc>
      </w:tr>
      <w:tr>
        <w:trPr>
          <w:cantSplit/>
        </w:trPr>
        <w:tc>
          <w:tcPr>
            <w:tcW w:type="dxa" w:w="1750"/>
            <w:tcMar>
              <w:top w:type="dxa" w:w="50"/>
              <w:left w:type="dxa" w:w="80"/>
              <w:bottom w:type="dxa" w:w="50"/>
              <w:right w:type="dxa" w:w="80"/>
            </w:tcMar>
          </w:tcPr>
          <w:p>
            <w:pPr>
              <w:spacing w:after="0" w:line="230"/>
            </w:pPr>
            <w:r>
              <w:rPr>
                <w:rFonts w:ascii="Arial" w:cs="Arial" w:eastAsia="Arial" w:hAnsi="Arial"/>
                <w:b/>
                <w:bCs/>
                <w:sz w:val="14"/>
                <w:szCs w:val="14"/>
              </w:rPr>
              <w:t xml:space="preserve">United States (New Jersey) — Division of Gaming Enforcement; FinCEN</w:t>
            </w:r>
          </w:p>
        </w:tc>
        <w:tc>
          <w:tcPr>
            <w:tcW w:type="dxa" w:w="29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Bank account, credit and debit card, cash at the cage, prepaid card, ACH and other means the Division approves; virtual currency and stablecoins not listed, and no approval found.</w:t>
            </w:r>
          </w:p>
        </w:tc>
        <w:tc>
          <w:tcPr>
            <w:tcW w:type="dxa" w:w="25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One non-transferable account per patron; no transfers between patrons; withdrawals to the patron’s verified bank account or prepaid card, or at the cage; refunds to the funding card.</w:t>
            </w:r>
          </w:p>
        </w:tc>
        <w:tc>
          <w:tcPr>
            <w:tcW w:type="dxa" w:w="305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Currency transaction reports above $10,000 per gaming day; suspicious activity reports from $5,000 within 30 days, through BSA E-Filing.</w:t>
            </w:r>
          </w:p>
        </w:tc>
        <w:tc>
          <w:tcPr>
            <w:tcW w:type="dxa" w:w="2028"/>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Separate New Jersey bank account at least equal to balances, funds on game and pending withdrawals; monthly attestation.</w:t>
            </w:r>
          </w:p>
        </w:tc>
        <w:tc>
          <w:tcPr>
            <w:tcW w:type="dxa" w:w="2400"/>
            <w:tcMar>
              <w:top w:type="dxa" w:w="50"/>
              <w:left w:type="dxa" w:w="80"/>
              <w:bottom w:type="dxa" w:w="50"/>
              <w:right w:type="dxa" w:w="80"/>
            </w:tcMar>
          </w:tcPr>
          <w:p>
            <w:pPr>
              <w:spacing w:after="0" w:line="230"/>
            </w:pPr>
            <w:r>
              <w:rPr>
                <w:rFonts w:ascii="Arial" w:cs="Arial" w:eastAsia="Arial" w:hAnsi="Arial"/>
                <w:b w:val="false"/>
                <w:bCs w:val="false"/>
                <w:sz w:val="14"/>
                <w:szCs w:val="14"/>
              </w:rPr>
              <w:t xml:space="preserve">Regulator queries and exports system data; servers in Atlantic City. Account data 10 years; BSA records 5 years. No tribal gaming in the state, so no NIGC role.</w:t>
            </w:r>
          </w:p>
        </w:tc>
      </w:tr>
    </w:tbl>
    <w:p>
      <w:pPr>
        <w:pStyle w:val="Heading2"/>
        <w:spacing w:after="100" w:before="220"/>
      </w:pPr>
      <w:r>
        <w:rPr>
          <w:rFonts w:ascii="Arial" w:cs="Arial" w:eastAsia="Arial" w:hAnsi="Arial"/>
          <w:b/>
          <w:bCs/>
          <w:color w:val="2E5496"/>
          <w:sz w:val="22"/>
          <w:szCs w:val="22"/>
        </w:rPr>
        <w:t xml:space="preserve">Principal sources</w:t>
      </w:r>
    </w:p>
    <w:p>
      <w:pPr>
        <w:pStyle w:val="ListParagraph"/>
        <w:numPr>
          <w:ilvl w:val="0"/>
          <w:numId w:val="2"/>
        </w:numPr>
        <w:spacing w:after="60" w:line="264"/>
      </w:pPr>
      <w:r>
        <w:rPr>
          <w:rFonts w:ascii="Arial" w:cs="Arial" w:eastAsia="Arial" w:hAnsi="Arial"/>
          <w:sz w:val="15"/>
          <w:szCs w:val="15"/>
        </w:rPr>
        <w:t xml:space="preserve">United Kingdom: Gambling Commission — LCCP 4.1.1, 4.2.1, 6.1.2; AML guidance parts 6–7; 2026 ML/TF risk assessment; quarterly returns consultation response (gamblingcommission.gov.uk).</w:t>
      </w:r>
    </w:p>
    <w:p>
      <w:pPr>
        <w:pStyle w:val="ListParagraph"/>
        <w:numPr>
          <w:ilvl w:val="0"/>
          <w:numId w:val="2"/>
        </w:numPr>
        <w:spacing w:after="60" w:line="264"/>
      </w:pPr>
      <w:r>
        <w:rPr>
          <w:rFonts w:ascii="Arial" w:cs="Arial" w:eastAsia="Arial" w:hAnsi="Arial"/>
          <w:sz w:val="15"/>
          <w:szCs w:val="15"/>
        </w:rPr>
        <w:t xml:space="preserve">Ireland: Gambling Regulation Act 2024 ss.136, 164, 165 (revisedacts.lawreform.ie); S.I. 31/2026; Criminal Justice (Money Laundering and Terrorist Financing) Act 2010 ss.24, 55.</w:t>
      </w:r>
    </w:p>
    <w:p>
      <w:pPr>
        <w:pStyle w:val="ListParagraph"/>
        <w:numPr>
          <w:ilvl w:val="0"/>
          <w:numId w:val="2"/>
        </w:numPr>
        <w:spacing w:after="60" w:line="264"/>
      </w:pPr>
      <w:r>
        <w:rPr>
          <w:rFonts w:ascii="Arial" w:cs="Arial" w:eastAsia="Arial" w:hAnsi="Arial"/>
          <w:sz w:val="15"/>
          <w:szCs w:val="15"/>
        </w:rPr>
        <w:t xml:space="preserve">Gibraltar: Gambling Act 2025 (gibraltarlaws.gov.gi); Remote Technical and Operating Standards; AML Code for remote operators. Isle of Man: GSC AML/CFT guidance v1.3 and licensing requirements (isleofmangsc.com). Alderney: AGCC legislation and Schedule 4 (gamblingcontrol.org).</w:t>
      </w:r>
    </w:p>
    <w:p>
      <w:pPr>
        <w:pStyle w:val="ListParagraph"/>
        <w:numPr>
          <w:ilvl w:val="0"/>
          <w:numId w:val="2"/>
        </w:numPr>
        <w:spacing w:after="60" w:line="264"/>
      </w:pPr>
      <w:r>
        <w:rPr>
          <w:rFonts w:ascii="Arial" w:cs="Arial" w:eastAsia="Arial" w:hAnsi="Arial"/>
          <w:sz w:val="15"/>
          <w:szCs w:val="15"/>
        </w:rPr>
        <w:t xml:space="preserve">Malta: MGA Directives 2/2018 and 3/2018; MGA DLT Policy (2023). Italy: Legislative Decree 41/2024; technical rules TRIS 2024/0405/IT. Greece: Ministerial Decision 79835/2020; HGC AML Regulation 554/5/2021. Cyprus: Betting Law 37(I)/2019; NBA Directives 3.2020 and 15.2024 (nba.gov.cy).</w:t>
      </w:r>
    </w:p>
    <w:p>
      <w:pPr>
        <w:pStyle w:val="ListParagraph"/>
        <w:numPr>
          <w:ilvl w:val="0"/>
          <w:numId w:val="2"/>
        </w:numPr>
        <w:spacing w:after="60" w:line="264"/>
      </w:pPr>
      <w:r>
        <w:rPr>
          <w:rFonts w:ascii="Arial" w:cs="Arial" w:eastAsia="Arial" w:hAnsi="Arial"/>
          <w:sz w:val="15"/>
          <w:szCs w:val="15"/>
        </w:rPr>
        <w:t xml:space="preserve">Portugal: Decree-Law 66/2015 and SRIJ instructions (srij.turismodeportugal.pt). Spain: Ley 13/2011 and DGOJ data-model resolutions (boe.es; ordenacionjuego.es). France: ANJ AML reference framework (anj.fr).</w:t>
      </w:r>
    </w:p>
    <w:p>
      <w:pPr>
        <w:pStyle w:val="ListParagraph"/>
        <w:numPr>
          <w:ilvl w:val="0"/>
          <w:numId w:val="2"/>
        </w:numPr>
        <w:spacing w:after="60" w:line="264"/>
      </w:pPr>
      <w:r>
        <w:rPr>
          <w:rFonts w:ascii="Arial" w:cs="Arial" w:eastAsia="Arial" w:hAnsi="Arial"/>
          <w:sz w:val="15"/>
          <w:szCs w:val="15"/>
        </w:rPr>
        <w:t xml:space="preserve">Netherlands: Besluit kansspelen op afstand; Ksa CDB guidance (kansspelautoriteit.nl). Belgium: Gaming Commission player-protection rules (gamingcommission.be). Germany: GlüStV 2021 §§6a–6j; GwG §16; LUGAS technical guideline. Austria: bill 594 d.B. (parlament.gv.at). Switzerland: ESBK and fedpol guidance.</w:t>
      </w:r>
    </w:p>
    <w:p>
      <w:pPr>
        <w:pStyle w:val="ListParagraph"/>
        <w:numPr>
          <w:ilvl w:val="0"/>
          <w:numId w:val="2"/>
        </w:numPr>
        <w:spacing w:after="60" w:line="264"/>
      </w:pPr>
      <w:r>
        <w:rPr>
          <w:rFonts w:ascii="Arial" w:cs="Arial" w:eastAsia="Arial" w:hAnsi="Arial"/>
          <w:sz w:val="15"/>
          <w:szCs w:val="15"/>
        </w:rPr>
        <w:t xml:space="preserve">Denmark: executive orders 682/2025 and 684/2025. Sweden: Spellag 2018:1138 and SFS 2026:90 (riksdagen.se). Norway: Pengespilloven 2022 (lottstift.no). Finland: new Gambling Act (finlex.fi). Estonia: EMTA guidance (emta.ee). Latvia: Gambling and Lotteries Law (likumi.lv). Lithuania: Gaming Law (lpt.lrv.lt).</w:t>
      </w:r>
    </w:p>
    <w:p>
      <w:pPr>
        <w:pStyle w:val="ListParagraph"/>
        <w:numPr>
          <w:ilvl w:val="0"/>
          <w:numId w:val="2"/>
        </w:numPr>
        <w:spacing w:after="60" w:line="264"/>
      </w:pPr>
      <w:r>
        <w:rPr>
          <w:rFonts w:ascii="Arial" w:cs="Arial" w:eastAsia="Arial" w:hAnsi="Arial"/>
          <w:sz w:val="15"/>
          <w:szCs w:val="15"/>
        </w:rPr>
        <w:t xml:space="preserve">Romania, Bulgaria, Hungary, Poland, Czech Republic, Slovakia: CMS Expert Guide to Gambling Laws in CEE; njt.jog.gov.hu; hazard.mf.gov.pl; mf.gov.cz; slov-lex.sk. Serbia: uis.gov.rs rulebooks. Croatia: Games of Chance Act (zakon.hr; narodne-novine.nn.hr). Montenegro: Law on Games of Chance 2025 (sluzbenilist.me).</w:t>
      </w:r>
    </w:p>
    <w:p>
      <w:pPr>
        <w:pStyle w:val="ListParagraph"/>
        <w:numPr>
          <w:ilvl w:val="0"/>
          <w:numId w:val="2"/>
        </w:numPr>
        <w:spacing w:after="60" w:line="264"/>
      </w:pPr>
      <w:r>
        <w:rPr>
          <w:rFonts w:ascii="Arial" w:cs="Arial" w:eastAsia="Arial" w:hAnsi="Arial"/>
          <w:sz w:val="15"/>
          <w:szCs w:val="15"/>
        </w:rPr>
        <w:t xml:space="preserve">Ukraine, Georgia, Armenia, Azerbaijan, Kazakhstan, Uzbekistan: matsne.gov.ge; lex.uz; MONEYVAL mutual evaluation reports (rm.coe.int); national regulator notices.</w:t>
      </w:r>
    </w:p>
    <w:p>
      <w:pPr>
        <w:pStyle w:val="ListParagraph"/>
        <w:numPr>
          <w:ilvl w:val="0"/>
          <w:numId w:val="2"/>
        </w:numPr>
        <w:spacing w:after="60" w:line="264"/>
      </w:pPr>
      <w:r>
        <w:rPr>
          <w:rFonts w:ascii="Arial" w:cs="Arial" w:eastAsia="Arial" w:hAnsi="Arial"/>
          <w:sz w:val="15"/>
          <w:szCs w:val="15"/>
        </w:rPr>
        <w:t xml:space="preserve">United Arab Emirates: GCGRA policy paper and Cabinet Resolution 134/2025 (gcgra.gov.ae). India: Promotion and Regulation of Online Gaming Act 2025 (egazette.gov.in). Philippines: PAGCOR and BSP notices.</w:t>
      </w:r>
    </w:p>
    <w:p>
      <w:pPr>
        <w:pStyle w:val="ListParagraph"/>
        <w:numPr>
          <w:ilvl w:val="0"/>
          <w:numId w:val="2"/>
        </w:numPr>
        <w:spacing w:after="60" w:line="264"/>
      </w:pPr>
      <w:r>
        <w:rPr>
          <w:rFonts w:ascii="Arial" w:cs="Arial" w:eastAsia="Arial" w:hAnsi="Arial"/>
          <w:sz w:val="15"/>
          <w:szCs w:val="15"/>
        </w:rPr>
        <w:t xml:space="preserve">South Africa: National Gambling Act 2004; FIC guidance. Malawi: Gaming and Lotteries Act 2022; Money Laundering Regulations 2020. Kenya: Gambling Control Act 2025; draft regulations 2026 (gra.go.ke). Nigeria: Supreme Court SC/1/2008; LSLGA notices. Ghana, Botswana, Zimbabwe, Eswatini, Lesotho, Angola, Tanzania, Uganda: regulator and FIU sites; CMS Expert Guide to Gambling Laws in Africa.</w:t>
      </w:r>
    </w:p>
    <w:p>
      <w:pPr>
        <w:pStyle w:val="ListParagraph"/>
        <w:numPr>
          <w:ilvl w:val="0"/>
          <w:numId w:val="2"/>
        </w:numPr>
        <w:spacing w:after="60" w:line="264"/>
      </w:pPr>
      <w:r>
        <w:rPr>
          <w:rFonts w:ascii="Arial" w:cs="Arial" w:eastAsia="Arial" w:hAnsi="Arial"/>
          <w:sz w:val="15"/>
          <w:szCs w:val="15"/>
        </w:rPr>
        <w:t xml:space="preserve">Curaçao: National Ordinance on Games of Chance (2024); CGA AML/CFT Regulations (2025); CGA crypto policy guideline (2026). Brazil: Law 14,790/2023; SPA/MF Ordinances 615, 722, 827, 1,143 and 1,231 of 2024; SIGAP manual. Argentina: UIF Resolution 194/2023; IPLyC Resolution 791/2019.</w:t>
      </w:r>
    </w:p>
    <w:p>
      <w:pPr>
        <w:pStyle w:val="ListParagraph"/>
        <w:numPr>
          <w:ilvl w:val="0"/>
          <w:numId w:val="2"/>
        </w:numPr>
        <w:spacing w:after="60" w:line="264"/>
      </w:pPr>
      <w:r>
        <w:rPr>
          <w:rFonts w:ascii="Arial" w:cs="Arial" w:eastAsia="Arial" w:hAnsi="Arial"/>
          <w:sz w:val="15"/>
          <w:szCs w:val="15"/>
        </w:rPr>
        <w:t xml:space="preserve">Colombia: Coljuegos Acuerdo 04/2016 and technical resolutions. Peru: Law 31557 and DS 005-2023-MINCETUR; Res. SBS 03622-2025. Mexico: Reglamento de la Ley Federal de Juegos y Sorteos; SAT Annex 17. Chile: Senate bill on online betting platforms. Panama: MEF–JCJ resolutions.</w:t>
      </w:r>
    </w:p>
    <w:p>
      <w:pPr>
        <w:pStyle w:val="ListParagraph"/>
        <w:numPr>
          <w:ilvl w:val="0"/>
          <w:numId w:val="2"/>
        </w:numPr>
        <w:spacing w:after="60" w:line="264"/>
      </w:pPr>
      <w:r>
        <w:rPr>
          <w:rFonts w:ascii="Arial" w:cs="Arial" w:eastAsia="Arial" w:hAnsi="Arial"/>
          <w:sz w:val="15"/>
          <w:szCs w:val="15"/>
        </w:rPr>
        <w:t xml:space="preserve">Canada: AGCO Registrar’s Standards for Internet Gaming; FINTRAC guidance and reporting API; BC Gaming Control Act. United States: N.J.A.C. 13:69O (nj.gov); 31 CFR Part 1021 (ecfr.gov).</w:t>
      </w:r>
    </w:p>
    <w:p>
      <w:pPr>
        <w:sectPr>
          <w:headerReference w:type="default" r:id="rId9"/>
          <w:footerReference w:type="default" r:id="rId10"/>
          <w:pgSz w:w="16838" w:h="11906" w:orient="landscape"/>
          <w:pgMar w:top="900" w:right="1080" w:bottom="900" w:left="1080" w:header="708" w:footer="708" w:gutter="0"/>
          <w:pgNumType/>
          <w:docGrid w:linePitch="360"/>
        </w:sectPr>
      </w:pPr>
    </w:p>
    <w:p>
      <w:pPr>
        <w:pStyle w:val="Heading1"/>
        <w:spacing w:after="140" w:before="320"/>
      </w:pPr>
      <w:r>
        <w:rPr>
          <w:rFonts w:ascii="Arial" w:cs="Arial" w:eastAsia="Arial" w:hAnsi="Arial"/>
          <w:b/>
          <w:bCs/>
          <w:color w:val="1F3864"/>
          <w:sz w:val="28"/>
          <w:szCs w:val="28"/>
        </w:rPr>
        <w:t xml:space="preserve">Annex C. Example records</w:t>
      </w:r>
    </w:p>
    <w:p>
      <w:pPr>
        <w:spacing w:after="120" w:line="264"/>
      </w:pPr>
      <w:r>
        <w:rPr>
          <w:rFonts w:ascii="Arial" w:cs="Arial" w:eastAsia="Arial" w:hAnsi="Arial"/>
          <w:sz w:val="20"/>
          <w:szCs w:val="20"/>
        </w:rPr>
        <w:t xml:space="preserve">Synthetic records with illustrative values, abbreviated. They show the shape of the data and are not drawn from any operator.</w:t>
      </w:r>
    </w:p>
    <w:p>
      <w:pPr>
        <w:spacing w:after="120" w:line="264"/>
      </w:pPr>
      <w:r>
        <w:rPr>
          <w:rFonts w:ascii="Arial" w:cs="Arial" w:eastAsia="Arial" w:hAnsi="Arial"/>
          <w:sz w:val="20"/>
          <w:szCs w:val="20"/>
        </w:rPr>
        <w:t xml:space="preserve">Card deposit (R3), with holder match and limit check:</w:t>
      </w:r>
    </w:p>
    <w:p>
      <w:pPr>
        <w:shd w:fill="F2F2F2" w:val="clear"/>
        <w:spacing w:after="120"/>
      </w:pPr>
      <w:r>
        <w:rPr>
          <w:rFonts w:ascii="Courier New" w:cs="Courier New" w:eastAsia="Courier New" w:hAnsi="Courier New"/>
          <w:sz w:val="15"/>
          <w:szCs w:val="15"/>
        </w:rPr>
        <w:t xml:space="preserve">{"tx_id":"D-2026-104511","player_ref":"P-20931","player_ref_scope":"licence-A","direction":"deposit","rail":"card","instrument_id":"I-77812","provider_id":"PSP-03","rail_reference_type":"acquirer_reference","rail_reference":"74987506291000123456789","amount":"150.00","currency_or_asset":"EUR","amount_reporting_ccy":"150.00","initiated_at":"2026-11-04T19:02:11+01:00","credited_at":"2026-11-04T19:02:14+01:00","credited_amount":"150.00","ledger_entry_ref":"L-552019","check_ids":["C-90211","C-90212"],"limit_check":"within_limit","outcome":"accepted"}</w:t>
      </w:r>
    </w:p>
    <w:p>
      <w:pPr>
        <w:spacing w:after="120" w:line="264"/>
      </w:pPr>
      <w:r>
        <w:rPr>
          <w:rFonts w:ascii="Arial" w:cs="Arial" w:eastAsia="Arial" w:hAnsi="Arial"/>
          <w:sz w:val="20"/>
          <w:szCs w:val="20"/>
        </w:rPr>
        <w:t xml:space="preserve">Mobile money deposit (R3), with a tax line and an authority reference:</w:t>
      </w:r>
    </w:p>
    <w:p>
      <w:pPr>
        <w:shd w:fill="F2F2F2" w:val="clear"/>
        <w:spacing w:after="120"/>
      </w:pPr>
      <w:r>
        <w:rPr>
          <w:rFonts w:ascii="Courier New" w:cs="Courier New" w:eastAsia="Courier New" w:hAnsi="Courier New"/>
          <w:sz w:val="15"/>
          <w:szCs w:val="15"/>
        </w:rPr>
        <w:t xml:space="preserve">{"tx_id":"D-2026-339120","player_ref":"P-55102","direction":"deposit","rail":"mobile_money","instrument_id":"I-MM-0931","provider_id":"MMO-01","rail_reference_type":"operator_receipt","rail_reference":"TJK4X9ZQ2L","authority_reference":"CMS-20261104-0081734","amount":"1000.00","currency_or_asset":"KES","credited_at":"2026-11-04T20:15:09+03:00","credited_amount":"950.00","tax_lines":[{"type":"excise_on_deposit","rate":"0.05","amount":"50.00","authority":"tax_authority","due_at":"2026-11-05","remittance_ref":"TR-20261105-01"}],"ledger_entry_ref":"L-881204","check_ids":["C-71820"],"outcome":"accepted"}</w:t>
      </w:r>
    </w:p>
    <w:p>
      <w:pPr>
        <w:spacing w:after="120" w:line="264"/>
      </w:pPr>
      <w:r>
        <w:rPr>
          <w:rFonts w:ascii="Arial" w:cs="Arial" w:eastAsia="Arial" w:hAnsi="Arial"/>
          <w:sz w:val="20"/>
          <w:szCs w:val="20"/>
        </w:rPr>
        <w:t xml:space="preserve">Instant-payment withdrawal (R4), with closed-loop evidence and payout timing:</w:t>
      </w:r>
    </w:p>
    <w:p>
      <w:pPr>
        <w:shd w:fill="F2F2F2" w:val="clear"/>
        <w:spacing w:after="120"/>
      </w:pPr>
      <w:r>
        <w:rPr>
          <w:rFonts w:ascii="Courier New" w:cs="Courier New" w:eastAsia="Courier New" w:hAnsi="Courier New"/>
          <w:sz w:val="15"/>
          <w:szCs w:val="15"/>
        </w:rPr>
        <w:t xml:space="preserve">{"tx_id":"W-2026-220871","player_ref":"P-31007","direction":"withdrawal","rail":"bank_transfer","instrument_id":"I-77990","rail_reference_type":"instant_payment_e2e_id","rail_reference":"E1234567820261104193512345678901","amount":"420.00","currency_or_asset":"BRL","requested_at":"2026-11-04T19:30:02-03:00","approved_by":"rule:auto-payout-v4","approved_at":"2026-11-04T19:30:05-03:00","paid_at":"2026-11-04T19:35:12-03:00","destination_rule":"same_instrument","source_instrument_ids":["I-77990"],"check_ids":["C-91002"],"outcome":"accepted"}</w:t>
      </w:r>
    </w:p>
    <w:p>
      <w:pPr>
        <w:spacing w:after="120" w:line="264"/>
      </w:pPr>
      <w:r>
        <w:rPr>
          <w:rFonts w:ascii="Arial" w:cs="Arial" w:eastAsia="Arial" w:hAnsi="Arial"/>
          <w:sz w:val="20"/>
          <w:szCs w:val="20"/>
        </w:rPr>
        <w:t xml:space="preserve">Virtual-asset deposit (R3), under a pooled provider wallet — no hash exists, so the provider reference is the anchor:</w:t>
      </w:r>
    </w:p>
    <w:p>
      <w:pPr>
        <w:shd w:fill="F2F2F2" w:val="clear"/>
        <w:spacing w:after="120"/>
      </w:pPr>
      <w:r>
        <w:rPr>
          <w:rFonts w:ascii="Courier New" w:cs="Courier New" w:eastAsia="Courier New" w:hAnsi="Courier New"/>
          <w:sz w:val="15"/>
          <w:szCs w:val="15"/>
        </w:rPr>
        <w:t xml:space="preserve">{"tx_id":"D-2026-000512","player_ref":"P-1190","direction":"deposit","rail":"virtual_asset","instrument_id":"I-VA-2210","provider_id":"VASP-01","rail_reference_type":"provider_reference","rail_reference":"INV-77120-AA","amount":"250.000000","currency_or_asset":"USDT-ERC20","off_chain_movement":true,"credited_at":"2026-11-04T10:12:44Z","credited_amount":"250.00","check_ids":["C-77401"],"outcome":"accepted","attestation_ref":"ATT-2026-11-VASP1"}</w:t>
      </w:r>
    </w:p>
    <w:p>
      <w:pPr>
        <w:spacing w:after="120" w:line="264"/>
      </w:pPr>
      <w:r>
        <w:rPr>
          <w:rFonts w:ascii="Arial" w:cs="Arial" w:eastAsia="Arial" w:hAnsi="Arial"/>
          <w:sz w:val="20"/>
          <w:szCs w:val="20"/>
        </w:rPr>
        <w:t xml:space="preserve">Coverage statement (R7), daily:</w:t>
      </w:r>
    </w:p>
    <w:p>
      <w:pPr>
        <w:shd w:fill="F2F2F2" w:val="clear"/>
        <w:spacing w:after="120"/>
      </w:pPr>
      <w:r>
        <w:rPr>
          <w:rFonts w:ascii="Courier New" w:cs="Courier New" w:eastAsia="Courier New" w:hAnsi="Courier New"/>
          <w:sz w:val="15"/>
          <w:szCs w:val="15"/>
        </w:rPr>
        <w:t xml:space="preserve">{"statement_id":"COV-2026-11-04-LIC-A","kind":"coverage","period_end":"2026-11-04T23:59:59+01:00","player_balances_total":"1840220.15","pending_withdrawals_total":"61200.00","open_bets_total":"88415.40","player_liability_total":"1989835.55","funds_held":{"segregated_account":"1902400.00","guarantee":"150000.00"},"in_transit_total":"41880.10","shortfall":"0.00","prepared_by":"finance_ops","reviewed_by":"compliance_officer"}</w:t>
      </w:r>
    </w:p>
    <w:p>
      <w:pPr>
        <w:pStyle w:val="Heading1"/>
        <w:spacing w:after="140" w:before="320"/>
      </w:pPr>
      <w:r>
        <w:rPr>
          <w:rFonts w:ascii="Arial" w:cs="Arial" w:eastAsia="Arial" w:hAnsi="Arial"/>
          <w:b/>
          <w:bCs/>
          <w:color w:val="1F3864"/>
          <w:sz w:val="28"/>
          <w:szCs w:val="28"/>
        </w:rPr>
        <w:t xml:space="preserve">Annex D. Conformance declaration (template)</w:t>
      </w:r>
    </w:p>
    <w:p>
      <w:pPr>
        <w:spacing w:after="120" w:line="264"/>
      </w:pPr>
      <w:r>
        <w:rPr>
          <w:rFonts w:ascii="Arial" w:cs="Arial" w:eastAsia="Arial" w:hAnsi="Arial"/>
          <w:sz w:val="20"/>
          <w:szCs w:val="20"/>
        </w:rPr>
        <w:t xml:space="preserve">For signature by the operator’s responsible officer.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00"/>
        <w:gridCol w:w="5946"/>
      </w:tblGrid>
      <w:tr>
        <w:trPr>
          <w:tblHeader/>
        </w:trPr>
        <w:tc>
          <w:tcPr>
            <w:tcW w:type="dxa" w:w="38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Item</w:t>
            </w:r>
          </w:p>
        </w:tc>
        <w:tc>
          <w:tcPr>
            <w:tcW w:type="dxa" w:w="59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Entry</w:t>
            </w:r>
          </w:p>
        </w:tc>
      </w:tr>
      <w:tr>
        <w:trPr>
          <w:cantSplit w:val="false"/>
        </w:trPr>
        <w:tc>
          <w:tcPr>
            <w:tcW w:type="dxa" w:w="3800"/>
            <w:tcMar>
              <w:top w:type="dxa" w:w="50"/>
              <w:left w:type="dxa" w:w="80"/>
              <w:bottom w:type="dxa" w:w="50"/>
              <w:right w:type="dxa" w:w="80"/>
            </w:tcMar>
          </w:tcPr>
          <w:p>
            <w:pPr>
              <w:spacing w:after="0" w:line="230"/>
            </w:pPr>
            <w:r>
              <w:rPr>
                <w:rFonts w:ascii="Arial" w:cs="Arial" w:eastAsia="Arial" w:hAnsi="Arial"/>
                <w:sz w:val="18"/>
                <w:szCs w:val="18"/>
              </w:rPr>
              <w:t xml:space="preserve">Operator and licence(s)</w:t>
            </w:r>
          </w:p>
        </w:tc>
        <w:tc>
          <w:tcPr>
            <w:tcW w:type="dxa" w:w="5946"/>
            <w:tcMar>
              <w:top w:type="dxa" w:w="50"/>
              <w:left w:type="dxa" w:w="80"/>
              <w:bottom w:type="dxa" w:w="50"/>
              <w:right w:type="dxa" w:w="80"/>
            </w:tcMar>
          </w:tcPr>
          <w:p>
            <w:pPr>
              <w:spacing w:after="0" w:line="230"/>
            </w:pPr>
            <w:r>
              <w:rPr>
                <w:rFonts w:ascii="Arial" w:cs="Arial" w:eastAsia="Arial" w:hAnsi="Arial"/>
                <w:sz w:val="18"/>
                <w:szCs w:val="18"/>
              </w:rPr>
              <w:t xml:space="preserve"/>
            </w:r>
          </w:p>
        </w:tc>
      </w:tr>
      <w:tr>
        <w:trPr>
          <w:cantSplit w:val="false"/>
        </w:trPr>
        <w:tc>
          <w:tcPr>
            <w:tcW w:type="dxa" w:w="38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Profile(s) applied, with versions</w:t>
            </w:r>
          </w:p>
        </w:tc>
        <w:tc>
          <w:tcPr>
            <w:tcW w:type="dxa" w:w="59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
            </w:r>
          </w:p>
        </w:tc>
      </w:tr>
      <w:tr>
        <w:trPr>
          <w:cantSplit w:val="false"/>
        </w:trPr>
        <w:tc>
          <w:tcPr>
            <w:tcW w:type="dxa" w:w="3800"/>
            <w:tcMar>
              <w:top w:type="dxa" w:w="50"/>
              <w:left w:type="dxa" w:w="80"/>
              <w:bottom w:type="dxa" w:w="50"/>
              <w:right w:type="dxa" w:w="80"/>
            </w:tcMar>
          </w:tcPr>
          <w:p>
            <w:pPr>
              <w:spacing w:after="0" w:line="230"/>
            </w:pPr>
            <w:r>
              <w:rPr>
                <w:rFonts w:ascii="Arial" w:cs="Arial" w:eastAsia="Arial" w:hAnsi="Arial"/>
                <w:sz w:val="18"/>
                <w:szCs w:val="18"/>
              </w:rPr>
              <w:t xml:space="preserve">Reporting period</w:t>
            </w:r>
          </w:p>
        </w:tc>
        <w:tc>
          <w:tcPr>
            <w:tcW w:type="dxa" w:w="5946"/>
            <w:tcMar>
              <w:top w:type="dxa" w:w="50"/>
              <w:left w:type="dxa" w:w="80"/>
              <w:bottom w:type="dxa" w:w="50"/>
              <w:right w:type="dxa" w:w="80"/>
            </w:tcMar>
          </w:tcPr>
          <w:p>
            <w:pPr>
              <w:spacing w:after="0" w:line="230"/>
            </w:pPr>
            <w:r>
              <w:rPr>
                <w:rFonts w:ascii="Arial" w:cs="Arial" w:eastAsia="Arial" w:hAnsi="Arial"/>
                <w:sz w:val="18"/>
                <w:szCs w:val="18"/>
              </w:rPr>
              <w:t xml:space="preserve"/>
            </w:r>
          </w:p>
        </w:tc>
      </w:tr>
      <w:tr>
        <w:trPr>
          <w:cantSplit w:val="false"/>
        </w:trPr>
        <w:tc>
          <w:tcPr>
            <w:tcW w:type="dxa" w:w="38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Records start date</w:t>
            </w:r>
          </w:p>
        </w:tc>
        <w:tc>
          <w:tcPr>
            <w:tcW w:type="dxa" w:w="59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The date from which complete records exist; earlier periods reported as not_recorded</w:t>
            </w:r>
          </w:p>
        </w:tc>
      </w:tr>
      <w:tr>
        <w:trPr>
          <w:cantSplit w:val="false"/>
        </w:trPr>
        <w:tc>
          <w:tcPr>
            <w:tcW w:type="dxa" w:w="3800"/>
            <w:tcMar>
              <w:top w:type="dxa" w:w="50"/>
              <w:left w:type="dxa" w:w="80"/>
              <w:bottom w:type="dxa" w:w="50"/>
              <w:right w:type="dxa" w:w="80"/>
            </w:tcMar>
          </w:tcPr>
          <w:p>
            <w:pPr>
              <w:spacing w:after="0" w:line="230"/>
            </w:pPr>
            <w:r>
              <w:rPr>
                <w:rFonts w:ascii="Arial" w:cs="Arial" w:eastAsia="Arial" w:hAnsi="Arial"/>
                <w:sz w:val="18"/>
                <w:szCs w:val="18"/>
              </w:rPr>
              <w:t xml:space="preserve">Rails in use</w:t>
            </w:r>
          </w:p>
        </w:tc>
        <w:tc>
          <w:tcPr>
            <w:tcW w:type="dxa" w:w="5946"/>
            <w:tcMar>
              <w:top w:type="dxa" w:w="50"/>
              <w:left w:type="dxa" w:w="80"/>
              <w:bottom w:type="dxa" w:w="50"/>
              <w:right w:type="dxa" w:w="80"/>
            </w:tcMar>
          </w:tcPr>
          <w:p>
            <w:pPr>
              <w:spacing w:after="0" w:line="230"/>
            </w:pPr>
            <w:r>
              <w:rPr>
                <w:rFonts w:ascii="Arial" w:cs="Arial" w:eastAsia="Arial" w:hAnsi="Arial"/>
                <w:sz w:val="18"/>
                <w:szCs w:val="18"/>
              </w:rPr>
              <w:t xml:space="preserve">card / bank_transfer / emoney / mobile_money / voucher / cash / virtual_asset</w:t>
            </w:r>
          </w:p>
        </w:tc>
      </w:tr>
      <w:tr>
        <w:trPr>
          <w:cantSplit w:val="false"/>
        </w:trPr>
        <w:tc>
          <w:tcPr>
            <w:tcW w:type="dxa" w:w="38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Custody models in use</w:t>
            </w:r>
          </w:p>
        </w:tc>
        <w:tc>
          <w:tcPr>
            <w:tcW w:type="dxa" w:w="59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direct / omnibus_at_provider / hybrid, per location type</w:t>
            </w:r>
          </w:p>
        </w:tc>
      </w:tr>
      <w:tr>
        <w:trPr>
          <w:cantSplit w:val="false"/>
        </w:trPr>
        <w:tc>
          <w:tcPr>
            <w:tcW w:type="dxa" w:w="3800"/>
            <w:tcMar>
              <w:top w:type="dxa" w:w="50"/>
              <w:left w:type="dxa" w:w="80"/>
              <w:bottom w:type="dxa" w:w="50"/>
              <w:right w:type="dxa" w:w="80"/>
            </w:tcMar>
          </w:tcPr>
          <w:p>
            <w:pPr>
              <w:spacing w:after="0" w:line="230"/>
            </w:pPr>
            <w:r>
              <w:rPr>
                <w:rFonts w:ascii="Arial" w:cs="Arial" w:eastAsia="Arial" w:hAnsi="Arial"/>
                <w:sz w:val="18"/>
                <w:szCs w:val="18"/>
              </w:rPr>
              <w:t xml:space="preserve">Where the records are held</w:t>
            </w:r>
          </w:p>
        </w:tc>
        <w:tc>
          <w:tcPr>
            <w:tcW w:type="dxa" w:w="5946"/>
            <w:tcMar>
              <w:top w:type="dxa" w:w="50"/>
              <w:left w:type="dxa" w:w="80"/>
              <w:bottom w:type="dxa" w:w="50"/>
              <w:right w:type="dxa" w:w="80"/>
            </w:tcMar>
          </w:tcPr>
          <w:p>
            <w:pPr>
              <w:spacing w:after="0" w:line="230"/>
            </w:pPr>
            <w:r>
              <w:rPr>
                <w:rFonts w:ascii="Arial" w:cs="Arial" w:eastAsia="Arial" w:hAnsi="Arial"/>
                <w:sz w:val="18"/>
                <w:szCs w:val="18"/>
              </w:rPr>
              <w:t xml:space="preserve">System location, and the arrangement relied upon for any data-location rule</w:t>
            </w:r>
          </w:p>
        </w:tc>
      </w:tr>
      <w:tr>
        <w:trPr>
          <w:cantSplit w:val="false"/>
        </w:trPr>
        <w:tc>
          <w:tcPr>
            <w:tcW w:type="dxa" w:w="38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Declared conformance level</w:t>
            </w:r>
          </w:p>
        </w:tc>
        <w:tc>
          <w:tcPr>
            <w:tcW w:type="dxa" w:w="59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Level 1 / Level 2 / Level 3</w:t>
            </w:r>
          </w:p>
        </w:tc>
      </w:tr>
      <w:tr>
        <w:trPr>
          <w:cantSplit w:val="false"/>
        </w:trPr>
        <w:tc>
          <w:tcPr>
            <w:tcW w:type="dxa" w:w="3800"/>
            <w:tcMar>
              <w:top w:type="dxa" w:w="50"/>
              <w:left w:type="dxa" w:w="80"/>
              <w:bottom w:type="dxa" w:w="50"/>
              <w:right w:type="dxa" w:w="80"/>
            </w:tcMar>
          </w:tcPr>
          <w:p>
            <w:pPr>
              <w:spacing w:after="0" w:line="230"/>
            </w:pPr>
            <w:r>
              <w:rPr>
                <w:rFonts w:ascii="Arial" w:cs="Arial" w:eastAsia="Arial" w:hAnsi="Arial"/>
                <w:sz w:val="18"/>
                <w:szCs w:val="18"/>
              </w:rPr>
              <w:t xml:space="preserve">Record types produced</w:t>
            </w:r>
          </w:p>
        </w:tc>
        <w:tc>
          <w:tcPr>
            <w:tcW w:type="dxa" w:w="5946"/>
            <w:tcMar>
              <w:top w:type="dxa" w:w="50"/>
              <w:left w:type="dxa" w:w="80"/>
              <w:bottom w:type="dxa" w:w="50"/>
              <w:right w:type="dxa" w:w="80"/>
            </w:tcMar>
          </w:tcPr>
          <w:p>
            <w:pPr>
              <w:spacing w:after="0" w:line="230"/>
            </w:pPr>
            <w:r>
              <w:rPr>
                <w:rFonts w:ascii="Arial" w:cs="Arial" w:eastAsia="Arial" w:hAnsi="Arial"/>
                <w:sz w:val="18"/>
                <w:szCs w:val="18"/>
              </w:rPr>
              <w:t xml:space="preserve">R1–R12, or the subset applicable, with reasons</w:t>
            </w:r>
          </w:p>
        </w:tc>
      </w:tr>
      <w:tr>
        <w:trPr>
          <w:cantSplit w:val="false"/>
        </w:trPr>
        <w:tc>
          <w:tcPr>
            <w:tcW w:type="dxa" w:w="38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Check providers and registers used</w:t>
            </w:r>
          </w:p>
        </w:tc>
        <w:tc>
          <w:tcPr>
            <w:tcW w:type="dxa" w:w="59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
            </w:r>
          </w:p>
        </w:tc>
      </w:tr>
      <w:tr>
        <w:trPr>
          <w:cantSplit w:val="false"/>
        </w:trPr>
        <w:tc>
          <w:tcPr>
            <w:tcW w:type="dxa" w:w="3800"/>
            <w:tcMar>
              <w:top w:type="dxa" w:w="50"/>
              <w:left w:type="dxa" w:w="80"/>
              <w:bottom w:type="dxa" w:w="50"/>
              <w:right w:type="dxa" w:w="80"/>
            </w:tcMar>
          </w:tcPr>
          <w:p>
            <w:pPr>
              <w:spacing w:after="0" w:line="230"/>
            </w:pPr>
            <w:r>
              <w:rPr>
                <w:rFonts w:ascii="Arial" w:cs="Arial" w:eastAsia="Arial" w:hAnsi="Arial"/>
                <w:sz w:val="18"/>
                <w:szCs w:val="18"/>
              </w:rPr>
              <w:t xml:space="preserve">Conformance suite version tested against</w:t>
            </w:r>
          </w:p>
        </w:tc>
        <w:tc>
          <w:tcPr>
            <w:tcW w:type="dxa" w:w="5946"/>
            <w:tcMar>
              <w:top w:type="dxa" w:w="50"/>
              <w:left w:type="dxa" w:w="80"/>
              <w:bottom w:type="dxa" w:w="50"/>
              <w:right w:type="dxa" w:w="80"/>
            </w:tcMar>
          </w:tcPr>
          <w:p>
            <w:pPr>
              <w:spacing w:after="0" w:line="230"/>
            </w:pPr>
            <w:r>
              <w:rPr>
                <w:rFonts w:ascii="Arial" w:cs="Arial" w:eastAsia="Arial" w:hAnsi="Arial"/>
                <w:sz w:val="18"/>
                <w:szCs w:val="18"/>
              </w:rPr>
              <w:t xml:space="preserve"/>
            </w:r>
          </w:p>
        </w:tc>
      </w:tr>
      <w:tr>
        <w:trPr>
          <w:cantSplit w:val="false"/>
        </w:trPr>
        <w:tc>
          <w:tcPr>
            <w:tcW w:type="dxa" w:w="38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Exceptions open at period end, and the oldest open exception</w:t>
            </w:r>
          </w:p>
        </w:tc>
        <w:tc>
          <w:tcPr>
            <w:tcW w:type="dxa" w:w="59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
            </w:r>
          </w:p>
        </w:tc>
      </w:tr>
      <w:tr>
        <w:trPr>
          <w:cantSplit w:val="false"/>
        </w:trPr>
        <w:tc>
          <w:tcPr>
            <w:tcW w:type="dxa" w:w="3800"/>
            <w:tcMar>
              <w:top w:type="dxa" w:w="50"/>
              <w:left w:type="dxa" w:w="80"/>
              <w:bottom w:type="dxa" w:w="50"/>
              <w:right w:type="dxa" w:w="80"/>
            </w:tcMar>
          </w:tcPr>
          <w:p>
            <w:pPr>
              <w:spacing w:after="0" w:line="230"/>
            </w:pPr>
            <w:r>
              <w:rPr>
                <w:rFonts w:ascii="Arial" w:cs="Arial" w:eastAsia="Arial" w:hAnsi="Arial"/>
                <w:sz w:val="18"/>
                <w:szCs w:val="18"/>
              </w:rPr>
              <w:t xml:space="preserve">Responsible officer, signature and date</w:t>
            </w:r>
          </w:p>
        </w:tc>
        <w:tc>
          <w:tcPr>
            <w:tcW w:type="dxa" w:w="5946"/>
            <w:tcMar>
              <w:top w:type="dxa" w:w="50"/>
              <w:left w:type="dxa" w:w="80"/>
              <w:bottom w:type="dxa" w:w="50"/>
              <w:right w:type="dxa" w:w="80"/>
            </w:tcMar>
          </w:tcPr>
          <w:p>
            <w:pPr>
              <w:spacing w:after="0" w:line="230"/>
            </w:pPr>
            <w:r>
              <w:rPr>
                <w:rFonts w:ascii="Arial" w:cs="Arial" w:eastAsia="Arial" w:hAnsi="Arial"/>
                <w:sz w:val="18"/>
                <w:szCs w:val="18"/>
              </w:rPr>
              <w:t xml:space="preserve"/>
            </w:r>
          </w:p>
        </w:tc>
      </w:tr>
    </w:tbl>
    <w:p>
      <w:pPr>
        <w:pStyle w:val="Heading1"/>
        <w:spacing w:after="140" w:before="320"/>
      </w:pPr>
      <w:r>
        <w:rPr>
          <w:rFonts w:ascii="Arial" w:cs="Arial" w:eastAsia="Arial" w:hAnsi="Arial"/>
          <w:b/>
          <w:bCs/>
          <w:color w:val="1F3864"/>
          <w:sz w:val="28"/>
          <w:szCs w:val="28"/>
        </w:rPr>
        <w:t xml:space="preserve">Annex E. Glossary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300"/>
        <w:gridCol w:w="7446"/>
      </w:tblGrid>
      <w:tr>
        <w:trPr>
          <w:tblHeader/>
        </w:trPr>
        <w:tc>
          <w:tcPr>
            <w:tcW w:type="dxa" w:w="23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Term</w:t>
            </w:r>
          </w:p>
        </w:tc>
        <w:tc>
          <w:tcPr>
            <w:tcW w:type="dxa" w:w="74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Meaning in this Standard</w:t>
            </w:r>
          </w:p>
        </w:tc>
      </w:tr>
      <w:tr>
        <w:trPr>
          <w:cantSplit w:val="false"/>
        </w:trPr>
        <w:tc>
          <w:tcPr>
            <w:tcW w:type="dxa" w:w="2300"/>
            <w:tcMar>
              <w:top w:type="dxa" w:w="50"/>
              <w:left w:type="dxa" w:w="80"/>
              <w:bottom w:type="dxa" w:w="50"/>
              <w:right w:type="dxa" w:w="80"/>
            </w:tcMar>
          </w:tcPr>
          <w:p>
            <w:pPr>
              <w:spacing w:after="0" w:line="230"/>
            </w:pPr>
            <w:r>
              <w:rPr>
                <w:rFonts w:ascii="Arial" w:cs="Arial" w:eastAsia="Arial" w:hAnsi="Arial"/>
                <w:sz w:val="18"/>
                <w:szCs w:val="18"/>
              </w:rPr>
              <w:t xml:space="preserve">Rail</w:t>
            </w:r>
          </w:p>
        </w:tc>
        <w:tc>
          <w:tcPr>
            <w:tcW w:type="dxa" w:w="7446"/>
            <w:tcMar>
              <w:top w:type="dxa" w:w="50"/>
              <w:left w:type="dxa" w:w="80"/>
              <w:bottom w:type="dxa" w:w="50"/>
              <w:right w:type="dxa" w:w="80"/>
            </w:tcMar>
          </w:tcPr>
          <w:p>
            <w:pPr>
              <w:spacing w:after="0" w:line="230"/>
            </w:pPr>
            <w:r>
              <w:rPr>
                <w:rFonts w:ascii="Arial" w:cs="Arial" w:eastAsia="Arial" w:hAnsi="Arial"/>
                <w:sz w:val="18"/>
                <w:szCs w:val="18"/>
              </w:rPr>
              <w:t xml:space="preserve">A payment system class: card, bank transfer and instant payment, e-money, mobile money, voucher, cash or virtual asset.</w:t>
            </w:r>
          </w:p>
        </w:tc>
      </w:tr>
      <w:tr>
        <w:trPr>
          <w:cantSplit w:val="false"/>
        </w:trPr>
        <w:tc>
          <w:tcPr>
            <w:tcW w:type="dxa" w:w="2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Instrument</w:t>
            </w:r>
          </w:p>
        </w:tc>
        <w:tc>
          <w:tcPr>
            <w:tcW w:type="dxa" w:w="7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 specific means of payment on a rail that is linked to a player: a card, an account, a phone number, a voucher or a wallet address.</w:t>
            </w:r>
          </w:p>
        </w:tc>
      </w:tr>
      <w:tr>
        <w:trPr>
          <w:cantSplit w:val="false"/>
        </w:trPr>
        <w:tc>
          <w:tcPr>
            <w:tcW w:type="dxa" w:w="2300"/>
            <w:tcMar>
              <w:top w:type="dxa" w:w="50"/>
              <w:left w:type="dxa" w:w="80"/>
              <w:bottom w:type="dxa" w:w="50"/>
              <w:right w:type="dxa" w:w="80"/>
            </w:tcMar>
          </w:tcPr>
          <w:p>
            <w:pPr>
              <w:spacing w:after="0" w:line="230"/>
            </w:pPr>
            <w:r>
              <w:rPr>
                <w:rFonts w:ascii="Arial" w:cs="Arial" w:eastAsia="Arial" w:hAnsi="Arial"/>
                <w:sz w:val="18"/>
                <w:szCs w:val="18"/>
              </w:rPr>
              <w:t xml:space="preserve">Funds location</w:t>
            </w:r>
          </w:p>
        </w:tc>
        <w:tc>
          <w:tcPr>
            <w:tcW w:type="dxa" w:w="7446"/>
            <w:tcMar>
              <w:top w:type="dxa" w:w="50"/>
              <w:left w:type="dxa" w:w="80"/>
              <w:bottom w:type="dxa" w:w="50"/>
              <w:right w:type="dxa" w:w="80"/>
            </w:tcMar>
          </w:tcPr>
          <w:p>
            <w:pPr>
              <w:spacing w:after="0" w:line="230"/>
            </w:pPr>
            <w:r>
              <w:rPr>
                <w:rFonts w:ascii="Arial" w:cs="Arial" w:eastAsia="Arial" w:hAnsi="Arial"/>
                <w:sz w:val="18"/>
                <w:szCs w:val="18"/>
              </w:rPr>
              <w:t xml:space="preserve">Any account, balance, wallet or float in which the operator holds money.</w:t>
            </w:r>
          </w:p>
        </w:tc>
      </w:tr>
      <w:tr>
        <w:trPr>
          <w:cantSplit w:val="false"/>
        </w:trPr>
        <w:tc>
          <w:tcPr>
            <w:tcW w:type="dxa" w:w="2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Profile</w:t>
            </w:r>
          </w:p>
        </w:tc>
        <w:tc>
          <w:tcPr>
            <w:tcW w:type="dxa" w:w="7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 set of parameters, in the machine-readable structure defined by the schema (Annex A), that applies one jurisdiction’s rules to the record model.</w:t>
            </w:r>
          </w:p>
        </w:tc>
      </w:tr>
      <w:tr>
        <w:trPr>
          <w:cantSplit w:val="false"/>
        </w:trPr>
        <w:tc>
          <w:tcPr>
            <w:tcW w:type="dxa" w:w="2300"/>
            <w:tcMar>
              <w:top w:type="dxa" w:w="50"/>
              <w:left w:type="dxa" w:w="80"/>
              <w:bottom w:type="dxa" w:w="50"/>
              <w:right w:type="dxa" w:w="80"/>
            </w:tcMar>
          </w:tcPr>
          <w:p>
            <w:pPr>
              <w:spacing w:after="0" w:line="230"/>
            </w:pPr>
            <w:r>
              <w:rPr>
                <w:rFonts w:ascii="Arial" w:cs="Arial" w:eastAsia="Arial" w:hAnsi="Arial"/>
                <w:sz w:val="18"/>
                <w:szCs w:val="18"/>
              </w:rPr>
              <w:t xml:space="preserve">Closed loop</w:t>
            </w:r>
          </w:p>
        </w:tc>
        <w:tc>
          <w:tcPr>
            <w:tcW w:type="dxa" w:w="7446"/>
            <w:tcMar>
              <w:top w:type="dxa" w:w="50"/>
              <w:left w:type="dxa" w:w="80"/>
              <w:bottom w:type="dxa" w:w="50"/>
              <w:right w:type="dxa" w:w="80"/>
            </w:tcMar>
          </w:tcPr>
          <w:p>
            <w:pPr>
              <w:spacing w:after="0" w:line="230"/>
            </w:pPr>
            <w:r>
              <w:rPr>
                <w:rFonts w:ascii="Arial" w:cs="Arial" w:eastAsia="Arial" w:hAnsi="Arial"/>
                <w:sz w:val="18"/>
                <w:szCs w:val="18"/>
              </w:rPr>
              <w:t xml:space="preserve">The rule that a payout returns to the instrument, or to an instrument of the same holder, from which the player funded the account.</w:t>
            </w:r>
          </w:p>
        </w:tc>
      </w:tr>
      <w:tr>
        <w:trPr>
          <w:cantSplit w:val="false"/>
        </w:trPr>
        <w:tc>
          <w:tcPr>
            <w:tcW w:type="dxa" w:w="2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Coverage</w:t>
            </w:r>
          </w:p>
        </w:tc>
        <w:tc>
          <w:tcPr>
            <w:tcW w:type="dxa" w:w="7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The relationship between total player liabilities and the funds held to meet them.</w:t>
            </w:r>
          </w:p>
        </w:tc>
      </w:tr>
      <w:tr>
        <w:trPr>
          <w:cantSplit w:val="false"/>
        </w:trPr>
        <w:tc>
          <w:tcPr>
            <w:tcW w:type="dxa" w:w="2300"/>
            <w:tcMar>
              <w:top w:type="dxa" w:w="50"/>
              <w:left w:type="dxa" w:w="80"/>
              <w:bottom w:type="dxa" w:w="50"/>
              <w:right w:type="dxa" w:w="80"/>
            </w:tcMar>
          </w:tcPr>
          <w:p>
            <w:pPr>
              <w:spacing w:after="0" w:line="230"/>
            </w:pPr>
            <w:r>
              <w:rPr>
                <w:rFonts w:ascii="Arial" w:cs="Arial" w:eastAsia="Arial" w:hAnsi="Arial"/>
                <w:sz w:val="18"/>
                <w:szCs w:val="18"/>
              </w:rPr>
              <w:t xml:space="preserve">Rail reference</w:t>
            </w:r>
          </w:p>
        </w:tc>
        <w:tc>
          <w:tcPr>
            <w:tcW w:type="dxa" w:w="7446"/>
            <w:tcMar>
              <w:top w:type="dxa" w:w="50"/>
              <w:left w:type="dxa" w:w="80"/>
              <w:bottom w:type="dxa" w:w="50"/>
              <w:right w:type="dxa" w:w="80"/>
            </w:tcMar>
          </w:tcPr>
          <w:p>
            <w:pPr>
              <w:spacing w:after="0" w:line="230"/>
            </w:pPr>
            <w:r>
              <w:rPr>
                <w:rFonts w:ascii="Arial" w:cs="Arial" w:eastAsia="Arial" w:hAnsi="Arial"/>
                <w:sz w:val="18"/>
                <w:szCs w:val="18"/>
              </w:rPr>
              <w:t xml:space="preserve">The identifier a payment rail issues for a payment.</w:t>
            </w:r>
          </w:p>
        </w:tc>
      </w:tr>
      <w:tr>
        <w:trPr>
          <w:cantSplit w:val="false"/>
        </w:trPr>
        <w:tc>
          <w:tcPr>
            <w:tcW w:type="dxa" w:w="2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Authority reference</w:t>
            </w:r>
          </w:p>
        </w:tc>
        <w:tc>
          <w:tcPr>
            <w:tcW w:type="dxa" w:w="7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The identifier an authority’s own system issues for a transaction.</w:t>
            </w:r>
          </w:p>
        </w:tc>
      </w:tr>
      <w:tr>
        <w:trPr>
          <w:cantSplit w:val="false"/>
        </w:trPr>
        <w:tc>
          <w:tcPr>
            <w:tcW w:type="dxa" w:w="2300"/>
            <w:tcMar>
              <w:top w:type="dxa" w:w="50"/>
              <w:left w:type="dxa" w:w="80"/>
              <w:bottom w:type="dxa" w:w="50"/>
              <w:right w:type="dxa" w:w="80"/>
            </w:tcMar>
          </w:tcPr>
          <w:p>
            <w:pPr>
              <w:spacing w:after="0" w:line="230"/>
            </w:pPr>
            <w:r>
              <w:rPr>
                <w:rFonts w:ascii="Arial" w:cs="Arial" w:eastAsia="Arial" w:hAnsi="Arial"/>
                <w:sz w:val="18"/>
                <w:szCs w:val="18"/>
              </w:rPr>
              <w:t xml:space="preserve">Unexplained delta</w:t>
            </w:r>
          </w:p>
        </w:tc>
        <w:tc>
          <w:tcPr>
            <w:tcW w:type="dxa" w:w="7446"/>
            <w:tcMar>
              <w:top w:type="dxa" w:w="50"/>
              <w:left w:type="dxa" w:w="80"/>
              <w:bottom w:type="dxa" w:w="50"/>
              <w:right w:type="dxa" w:w="80"/>
            </w:tcMar>
          </w:tcPr>
          <w:p>
            <w:pPr>
              <w:spacing w:after="0" w:line="230"/>
            </w:pPr>
            <w:r>
              <w:rPr>
                <w:rFonts w:ascii="Arial" w:cs="Arial" w:eastAsia="Arial" w:hAnsi="Arial"/>
                <w:sz w:val="18"/>
                <w:szCs w:val="18"/>
              </w:rPr>
              <w:t xml:space="preserve">The residual difference after matching a ledger against an external statement.</w:t>
            </w:r>
          </w:p>
        </w:tc>
      </w:tr>
      <w:tr>
        <w:trPr>
          <w:cantSplit w:val="false"/>
        </w:trPr>
        <w:tc>
          <w:tcPr>
            <w:tcW w:type="dxa" w:w="2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Evidence pack</w:t>
            </w:r>
          </w:p>
        </w:tc>
        <w:tc>
          <w:tcPr>
            <w:tcW w:type="dxa" w:w="7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The set of records that shows one payment end to end.</w:t>
            </w:r>
          </w:p>
        </w:tc>
      </w:tr>
      <w:tr>
        <w:trPr>
          <w:cantSplit w:val="false"/>
        </w:trPr>
        <w:tc>
          <w:tcPr>
            <w:tcW w:type="dxa" w:w="2300"/>
            <w:tcMar>
              <w:top w:type="dxa" w:w="50"/>
              <w:left w:type="dxa" w:w="80"/>
              <w:bottom w:type="dxa" w:w="50"/>
              <w:right w:type="dxa" w:w="80"/>
            </w:tcMar>
          </w:tcPr>
          <w:p>
            <w:pPr>
              <w:spacing w:after="0" w:line="230"/>
            </w:pPr>
            <w:r>
              <w:rPr>
                <w:rFonts w:ascii="Arial" w:cs="Arial" w:eastAsia="Arial" w:hAnsi="Arial"/>
                <w:sz w:val="18"/>
                <w:szCs w:val="18"/>
              </w:rPr>
              <w:t xml:space="preserve">Conformance suite</w:t>
            </w:r>
          </w:p>
        </w:tc>
        <w:tc>
          <w:tcPr>
            <w:tcW w:type="dxa" w:w="7446"/>
            <w:tcMar>
              <w:top w:type="dxa" w:w="50"/>
              <w:left w:type="dxa" w:w="80"/>
              <w:bottom w:type="dxa" w:w="50"/>
              <w:right w:type="dxa" w:w="80"/>
            </w:tcMar>
          </w:tcPr>
          <w:p>
            <w:pPr>
              <w:spacing w:after="0" w:line="230"/>
            </w:pPr>
            <w:r>
              <w:rPr>
                <w:rFonts w:ascii="Arial" w:cs="Arial" w:eastAsia="Arial" w:hAnsi="Arial"/>
                <w:sz w:val="18"/>
                <w:szCs w:val="18"/>
              </w:rPr>
              <w:t xml:space="preserve">The versioned catalogue of validation rules, tolerances and severities against which a package is tested.</w:t>
            </w:r>
          </w:p>
        </w:tc>
      </w:tr>
      <w:tr>
        <w:trPr>
          <w:cantSplit w:val="false"/>
        </w:trPr>
        <w:tc>
          <w:tcPr>
            <w:tcW w:type="dxa" w:w="2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Central register or hub</w:t>
            </w:r>
          </w:p>
        </w:tc>
        <w:tc>
          <w:tcPr>
            <w:tcW w:type="dxa" w:w="7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 system run by or for an authority that is queried before money moves (a limit file, an exclusion register) or through which transactions must pass.</w:t>
            </w:r>
          </w:p>
        </w:tc>
      </w:tr>
      <w:tr>
        <w:trPr>
          <w:cantSplit w:val="false"/>
        </w:trPr>
        <w:tc>
          <w:tcPr>
            <w:tcW w:type="dxa" w:w="2300"/>
            <w:tcMar>
              <w:top w:type="dxa" w:w="50"/>
              <w:left w:type="dxa" w:w="80"/>
              <w:bottom w:type="dxa" w:w="50"/>
              <w:right w:type="dxa" w:w="80"/>
            </w:tcMar>
          </w:tcPr>
          <w:p>
            <w:pPr>
              <w:spacing w:after="0" w:line="230"/>
            </w:pPr>
            <w:r>
              <w:rPr>
                <w:rFonts w:ascii="Arial" w:cs="Arial" w:eastAsia="Arial" w:hAnsi="Arial"/>
                <w:sz w:val="18"/>
                <w:szCs w:val="18"/>
              </w:rPr>
              <w:t xml:space="preserve">Data vault</w:t>
            </w:r>
          </w:p>
        </w:tc>
        <w:tc>
          <w:tcPr>
            <w:tcW w:type="dxa" w:w="7446"/>
            <w:tcMar>
              <w:top w:type="dxa" w:w="50"/>
              <w:left w:type="dxa" w:w="80"/>
              <w:bottom w:type="dxa" w:w="50"/>
              <w:right w:type="dxa" w:w="80"/>
            </w:tcMar>
          </w:tcPr>
          <w:p>
            <w:pPr>
              <w:spacing w:after="0" w:line="230"/>
            </w:pPr>
            <w:r>
              <w:rPr>
                <w:rFonts w:ascii="Arial" w:cs="Arial" w:eastAsia="Arial" w:hAnsi="Arial"/>
                <w:sz w:val="18"/>
                <w:szCs w:val="18"/>
              </w:rPr>
              <w:t xml:space="preserve">A store of operator records held in the authority’s schema, from which the authority reads or pulls data.</w:t>
            </w:r>
          </w:p>
        </w:tc>
      </w:tr>
      <w:tr>
        <w:trPr>
          <w:cantSplit w:val="false"/>
        </w:trPr>
        <w:tc>
          <w:tcPr>
            <w:tcW w:type="dxa" w:w="2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Indexed unit</w:t>
            </w:r>
          </w:p>
        </w:tc>
        <w:tc>
          <w:tcPr>
            <w:tcW w:type="dxa" w:w="74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 threshold expressed in a unit whose money value changes over time, such as a minimum wage or an inflation-indexed unit.</w:t>
            </w:r>
          </w:p>
        </w:tc>
      </w:tr>
    </w:tbl>
    <w:p>
      <w:pPr>
        <w:pStyle w:val="Heading1"/>
        <w:spacing w:after="140" w:before="320"/>
      </w:pPr>
      <w:r>
        <w:rPr>
          <w:rFonts w:ascii="Arial" w:cs="Arial" w:eastAsia="Arial" w:hAnsi="Arial"/>
          <w:b/>
          <w:bCs/>
          <w:color w:val="1F3864"/>
          <w:sz w:val="28"/>
          <w:szCs w:val="28"/>
        </w:rPr>
        <w:t xml:space="preserve">Annex F. Differences from the Curaçao edition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700"/>
        <w:gridCol w:w="3300"/>
        <w:gridCol w:w="4746"/>
      </w:tblGrid>
      <w:tr>
        <w:trPr>
          <w:tblHeader/>
        </w:trPr>
        <w:tc>
          <w:tcPr>
            <w:tcW w:type="dxa" w:w="17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Area</w:t>
            </w:r>
          </w:p>
        </w:tc>
        <w:tc>
          <w:tcPr>
            <w:tcW w:type="dxa" w:w="3300"/>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Curaçao edition (September 2026)</w:t>
            </w:r>
          </w:p>
        </w:tc>
        <w:tc>
          <w:tcPr>
            <w:tcW w:type="dxa" w:w="4746"/>
            <w:shd w:fill="1F3864" w:val="clear"/>
            <w:tcMar>
              <w:top w:type="dxa" w:w="50"/>
              <w:left w:type="dxa" w:w="80"/>
              <w:bottom w:type="dxa" w:w="50"/>
              <w:right w:type="dxa" w:w="80"/>
            </w:tcMar>
          </w:tcPr>
          <w:p>
            <w:pPr>
              <w:spacing w:after="0" w:line="230"/>
            </w:pPr>
            <w:r>
              <w:rPr>
                <w:rFonts w:ascii="Arial" w:cs="Arial" w:eastAsia="Arial" w:hAnsi="Arial"/>
                <w:b/>
                <w:bCs/>
                <w:color w:val="FFFFFF"/>
                <w:sz w:val="18"/>
                <w:szCs w:val="18"/>
              </w:rPr>
              <w:t xml:space="preserve">This edition</w:t>
            </w:r>
          </w:p>
        </w:tc>
      </w:tr>
      <w:tr>
        <w:trPr>
          <w:cantSplit w:val="false"/>
        </w:trPr>
        <w:tc>
          <w:tcPr>
            <w:tcW w:type="dxa" w:w="1700"/>
            <w:tcMar>
              <w:top w:type="dxa" w:w="50"/>
              <w:left w:type="dxa" w:w="80"/>
              <w:bottom w:type="dxa" w:w="50"/>
              <w:right w:type="dxa" w:w="80"/>
            </w:tcMar>
          </w:tcPr>
          <w:p>
            <w:pPr>
              <w:spacing w:after="0" w:line="230"/>
            </w:pPr>
            <w:r>
              <w:rPr>
                <w:rFonts w:ascii="Arial" w:cs="Arial" w:eastAsia="Arial" w:hAnsi="Arial"/>
                <w:sz w:val="18"/>
                <w:szCs w:val="18"/>
              </w:rPr>
              <w:t xml:space="preserve">Name</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Crypto Transaction Reporting and Evidence Standard</w:t>
            </w:r>
          </w:p>
        </w:tc>
        <w:tc>
          <w:tcPr>
            <w:tcW w:type="dxa" w:w="4746"/>
            <w:tcMar>
              <w:top w:type="dxa" w:w="50"/>
              <w:left w:type="dxa" w:w="80"/>
              <w:bottom w:type="dxa" w:w="50"/>
              <w:right w:type="dxa" w:w="80"/>
            </w:tcMar>
          </w:tcPr>
          <w:p>
            <w:pPr>
              <w:spacing w:after="0" w:line="230"/>
            </w:pPr>
            <w:r>
              <w:rPr>
                <w:rFonts w:ascii="Arial" w:cs="Arial" w:eastAsia="Arial" w:hAnsi="Arial"/>
                <w:sz w:val="18"/>
                <w:szCs w:val="18"/>
              </w:rPr>
              <w:t xml:space="preserve">Common Transaction Reporting and Evidence Standard; the short name CTRES is kept</w:t>
            </w:r>
          </w:p>
        </w:tc>
      </w:tr>
      <w:tr>
        <w:trPr>
          <w:cantSplit w:val="false"/>
        </w:trPr>
        <w:tc>
          <w:tcPr>
            <w:tcW w:type="dxa" w:w="1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Scope</w:t>
            </w:r>
          </w:p>
        </w:tc>
        <w:tc>
          <w:tcPr>
            <w:tcW w:type="dxa" w:w="3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Virtual assets only</w:t>
            </w:r>
          </w:p>
        </w:tc>
        <w:tc>
          <w:tcPr>
            <w:tcW w:type="dxa" w:w="47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Every payment rail, through rail modules (§6)</w:t>
            </w:r>
          </w:p>
        </w:tc>
      </w:tr>
      <w:tr>
        <w:trPr>
          <w:cantSplit w:val="false"/>
        </w:trPr>
        <w:tc>
          <w:tcPr>
            <w:tcW w:type="dxa" w:w="1700"/>
            <w:tcMar>
              <w:top w:type="dxa" w:w="50"/>
              <w:left w:type="dxa" w:w="80"/>
              <w:bottom w:type="dxa" w:w="50"/>
              <w:right w:type="dxa" w:w="80"/>
            </w:tcMar>
          </w:tcPr>
          <w:p>
            <w:pPr>
              <w:spacing w:after="0" w:line="230"/>
            </w:pPr>
            <w:r>
              <w:rPr>
                <w:rFonts w:ascii="Arial" w:cs="Arial" w:eastAsia="Arial" w:hAnsi="Arial"/>
                <w:sz w:val="18"/>
                <w:szCs w:val="18"/>
              </w:rPr>
              <w:t xml:space="preserve">Jurisdiction</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One, with its rules written into the text</w:t>
            </w:r>
          </w:p>
        </w:tc>
        <w:tc>
          <w:tcPr>
            <w:tcW w:type="dxa" w:w="4746"/>
            <w:tcMar>
              <w:top w:type="dxa" w:w="50"/>
              <w:left w:type="dxa" w:w="80"/>
              <w:bottom w:type="dxa" w:w="50"/>
              <w:right w:type="dxa" w:w="80"/>
            </w:tcMar>
          </w:tcPr>
          <w:p>
            <w:pPr>
              <w:spacing w:after="0" w:line="230"/>
            </w:pPr>
            <w:r>
              <w:rPr>
                <w:rFonts w:ascii="Arial" w:cs="Arial" w:eastAsia="Arial" w:hAnsi="Arial"/>
                <w:sz w:val="18"/>
                <w:szCs w:val="18"/>
              </w:rPr>
              <w:t xml:space="preserve">Any, through profiles (§5); sixty-seven profiles researched from published sources (Annex B)</w:t>
            </w:r>
          </w:p>
        </w:tc>
      </w:tr>
      <w:tr>
        <w:trPr>
          <w:cantSplit w:val="false"/>
        </w:trPr>
        <w:tc>
          <w:tcPr>
            <w:tcW w:type="dxa" w:w="1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R1</w:t>
            </w:r>
          </w:p>
        </w:tc>
        <w:tc>
          <w:tcPr>
            <w:tcW w:type="dxa" w:w="3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Wallet Inventory</w:t>
            </w:r>
          </w:p>
        </w:tc>
        <w:tc>
          <w:tcPr>
            <w:tcW w:type="dxa" w:w="47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Funds Location: any location type, protection mechanism, location jurisdiction</w:t>
            </w:r>
          </w:p>
        </w:tc>
      </w:tr>
      <w:tr>
        <w:trPr>
          <w:cantSplit w:val="false"/>
        </w:trPr>
        <w:tc>
          <w:tcPr>
            <w:tcW w:type="dxa" w:w="1700"/>
            <w:tcMar>
              <w:top w:type="dxa" w:w="50"/>
              <w:left w:type="dxa" w:w="80"/>
              <w:bottom w:type="dxa" w:w="50"/>
              <w:right w:type="dxa" w:w="80"/>
            </w:tcMar>
          </w:tcPr>
          <w:p>
            <w:pPr>
              <w:spacing w:after="0" w:line="230"/>
            </w:pPr>
            <w:r>
              <w:rPr>
                <w:rFonts w:ascii="Arial" w:cs="Arial" w:eastAsia="Arial" w:hAnsi="Arial"/>
                <w:sz w:val="18"/>
                <w:szCs w:val="18"/>
              </w:rPr>
              <w:t xml:space="preserve">R2</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Player Wallet Link</w:t>
            </w:r>
          </w:p>
        </w:tc>
        <w:tc>
          <w:tcPr>
            <w:tcW w:type="dxa" w:w="4746"/>
            <w:tcMar>
              <w:top w:type="dxa" w:w="50"/>
              <w:left w:type="dxa" w:w="80"/>
              <w:bottom w:type="dxa" w:w="50"/>
              <w:right w:type="dxa" w:w="80"/>
            </w:tcMar>
          </w:tcPr>
          <w:p>
            <w:pPr>
              <w:spacing w:after="0" w:line="230"/>
            </w:pPr>
            <w:r>
              <w:rPr>
                <w:rFonts w:ascii="Arial" w:cs="Arial" w:eastAsia="Arial" w:hAnsi="Arial"/>
                <w:sz w:val="18"/>
                <w:szCs w:val="18"/>
              </w:rPr>
              <w:t xml:space="preserve">Payment Instrument Link: holder match, funding type including invoice and buy-now-pay-later, issuer country, national-ID match, payout status</w:t>
            </w:r>
          </w:p>
        </w:tc>
      </w:tr>
      <w:tr>
        <w:trPr>
          <w:cantSplit w:val="false"/>
        </w:trPr>
        <w:tc>
          <w:tcPr>
            <w:tcW w:type="dxa" w:w="1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R3, R4</w:t>
            </w:r>
          </w:p>
        </w:tc>
        <w:tc>
          <w:tcPr>
            <w:tcW w:type="dxa" w:w="3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On-chain fields at the core</w:t>
            </w:r>
          </w:p>
        </w:tc>
        <w:tc>
          <w:tcPr>
            <w:tcW w:type="dxa" w:w="47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Rail-neutral core; rail and authority references; tax lines; limit check; payout timing; closed-loop evidence</w:t>
            </w:r>
          </w:p>
        </w:tc>
      </w:tr>
      <w:tr>
        <w:trPr>
          <w:cantSplit w:val="false"/>
        </w:trPr>
        <w:tc>
          <w:tcPr>
            <w:tcW w:type="dxa" w:w="1700"/>
            <w:tcMar>
              <w:top w:type="dxa" w:w="50"/>
              <w:left w:type="dxa" w:w="80"/>
              <w:bottom w:type="dxa" w:w="50"/>
              <w:right w:type="dxa" w:w="80"/>
            </w:tcMar>
          </w:tcPr>
          <w:p>
            <w:pPr>
              <w:spacing w:after="0" w:line="230"/>
            </w:pPr>
            <w:r>
              <w:rPr>
                <w:rFonts w:ascii="Arial" w:cs="Arial" w:eastAsia="Arial" w:hAnsi="Arial"/>
                <w:sz w:val="18"/>
                <w:szCs w:val="18"/>
              </w:rPr>
              <w:t xml:space="preserve">R5</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Screening Decision</w:t>
            </w:r>
          </w:p>
        </w:tc>
        <w:tc>
          <w:tcPr>
            <w:tcW w:type="dxa" w:w="4746"/>
            <w:tcMar>
              <w:top w:type="dxa" w:w="50"/>
              <w:left w:type="dxa" w:w="80"/>
              <w:bottom w:type="dxa" w:w="50"/>
              <w:right w:type="dxa" w:w="80"/>
            </w:tcMar>
          </w:tcPr>
          <w:p>
            <w:pPr>
              <w:spacing w:after="0" w:line="230"/>
            </w:pPr>
            <w:r>
              <w:rPr>
                <w:rFonts w:ascii="Arial" w:cs="Arial" w:eastAsia="Arial" w:hAnsi="Arial"/>
                <w:sz w:val="18"/>
                <w:szCs w:val="18"/>
              </w:rPr>
              <w:t xml:space="preserve">Check Decision: fifteen check types, including central limit files, credit registers, eligibility and exclusion registers, biometric checks and financial risk</w:t>
            </w:r>
          </w:p>
        </w:tc>
      </w:tr>
      <w:tr>
        <w:trPr>
          <w:cantSplit w:val="false"/>
        </w:trPr>
        <w:tc>
          <w:tcPr>
            <w:tcW w:type="dxa" w:w="1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R7</w:t>
            </w:r>
          </w:p>
        </w:tc>
        <w:tc>
          <w:tcPr>
            <w:tcW w:type="dxa" w:w="3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Wallet reconciliation</w:t>
            </w:r>
          </w:p>
        </w:tc>
        <w:tc>
          <w:tcPr>
            <w:tcW w:type="dxa" w:w="47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Location statements and a coverage statement for player liabilities</w:t>
            </w:r>
          </w:p>
        </w:tc>
      </w:tr>
      <w:tr>
        <w:trPr>
          <w:cantSplit w:val="false"/>
        </w:trPr>
        <w:tc>
          <w:tcPr>
            <w:tcW w:type="dxa" w:w="1700"/>
            <w:tcMar>
              <w:top w:type="dxa" w:w="50"/>
              <w:left w:type="dxa" w:w="80"/>
              <w:bottom w:type="dxa" w:w="50"/>
              <w:right w:type="dxa" w:w="80"/>
            </w:tcMar>
          </w:tcPr>
          <w:p>
            <w:pPr>
              <w:spacing w:after="0" w:line="230"/>
            </w:pPr>
            <w:r>
              <w:rPr>
                <w:rFonts w:ascii="Arial" w:cs="Arial" w:eastAsia="Arial" w:hAnsi="Arial"/>
                <w:sz w:val="18"/>
                <w:szCs w:val="18"/>
              </w:rPr>
              <w:t xml:space="preserve">R10, R11</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Counterparty register; custody attestation</w:t>
            </w:r>
          </w:p>
        </w:tc>
        <w:tc>
          <w:tcPr>
            <w:tcW w:type="dxa" w:w="4746"/>
            <w:tcMar>
              <w:top w:type="dxa" w:w="50"/>
              <w:left w:type="dxa" w:w="80"/>
              <w:bottom w:type="dxa" w:w="50"/>
              <w:right w:type="dxa" w:w="80"/>
            </w:tcMar>
          </w:tcPr>
          <w:p>
            <w:pPr>
              <w:spacing w:after="0" w:line="230"/>
            </w:pPr>
            <w:r>
              <w:rPr>
                <w:rFonts w:ascii="Arial" w:cs="Arial" w:eastAsia="Arial" w:hAnsi="Arial"/>
                <w:sz w:val="18"/>
                <w:szCs w:val="18"/>
              </w:rPr>
              <w:t xml:space="preserve">Provider register for any provider role; provider attestation for any pooled arrangement</w:t>
            </w:r>
          </w:p>
        </w:tc>
      </w:tr>
      <w:tr>
        <w:trPr>
          <w:cantSplit w:val="false"/>
        </w:trPr>
        <w:tc>
          <w:tcPr>
            <w:tcW w:type="dxa" w:w="1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R12</w:t>
            </w:r>
          </w:p>
        </w:tc>
        <w:tc>
          <w:tcPr>
            <w:tcW w:type="dxa" w:w="3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w:t>
            </w:r>
          </w:p>
        </w:tc>
        <w:tc>
          <w:tcPr>
            <w:tcW w:type="dxa" w:w="47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New: references to reports filed with other authorities, without their content</w:t>
            </w:r>
          </w:p>
        </w:tc>
      </w:tr>
      <w:tr>
        <w:trPr>
          <w:cantSplit w:val="false"/>
        </w:trPr>
        <w:tc>
          <w:tcPr>
            <w:tcW w:type="dxa" w:w="1700"/>
            <w:tcMar>
              <w:top w:type="dxa" w:w="50"/>
              <w:left w:type="dxa" w:w="80"/>
              <w:bottom w:type="dxa" w:w="50"/>
              <w:right w:type="dxa" w:w="80"/>
            </w:tcMar>
          </w:tcPr>
          <w:p>
            <w:pPr>
              <w:spacing w:after="0" w:line="230"/>
            </w:pPr>
            <w:r>
              <w:rPr>
                <w:rFonts w:ascii="Arial" w:cs="Arial" w:eastAsia="Arial" w:hAnsi="Arial"/>
                <w:sz w:val="18"/>
                <w:szCs w:val="18"/>
              </w:rPr>
              <w:t xml:space="preserve">New sections</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w:t>
            </w:r>
          </w:p>
        </w:tc>
        <w:tc>
          <w:tcPr>
            <w:tcW w:type="dxa" w:w="4746"/>
            <w:tcMar>
              <w:top w:type="dxa" w:w="50"/>
              <w:left w:type="dxa" w:w="80"/>
              <w:bottom w:type="dxa" w:w="50"/>
              <w:right w:type="dxa" w:w="80"/>
            </w:tcMar>
          </w:tcPr>
          <w:p>
            <w:pPr>
              <w:spacing w:after="0" w:line="230"/>
            </w:pPr>
            <w:r>
              <w:rPr>
                <w:rFonts w:ascii="Arial" w:cs="Arial" w:eastAsia="Arial" w:hAnsi="Arial"/>
                <w:sz w:val="18"/>
                <w:szCs w:val="18"/>
              </w:rPr>
              <w:t xml:space="preserve">Jurisdiction profiles (§5), rail modules (§6), mapping to existing formats (§7), governance (§13)</w:t>
            </w:r>
          </w:p>
        </w:tc>
      </w:tr>
      <w:tr>
        <w:trPr>
          <w:cantSplit w:val="false"/>
        </w:trPr>
        <w:tc>
          <w:tcPr>
            <w:tcW w:type="dxa" w:w="17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R3, R4 currencies</w:t>
            </w:r>
          </w:p>
        </w:tc>
        <w:tc>
          <w:tcPr>
            <w:tcW w:type="dxa" w:w="3300"/>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Account currency, account rate and operator-side network cost added in the September revisions</w:t>
            </w:r>
          </w:p>
        </w:tc>
        <w:tc>
          <w:tcPr>
            <w:tcW w:type="dxa" w:w="4746"/>
            <w:shd w:fill="F2F2F2" w:val="clear"/>
            <w:tcMar>
              <w:top w:type="dxa" w:w="50"/>
              <w:left w:type="dxa" w:w="80"/>
              <w:bottom w:type="dxa" w:w="50"/>
              <w:right w:type="dxa" w:w="80"/>
            </w:tcMar>
          </w:tcPr>
          <w:p>
            <w:pPr>
              <w:spacing w:after="0" w:line="230"/>
            </w:pPr>
            <w:r>
              <w:rPr>
                <w:rFonts w:ascii="Arial" w:cs="Arial" w:eastAsia="Arial" w:hAnsi="Arial"/>
                <w:sz w:val="18"/>
                <w:szCs w:val="18"/>
              </w:rPr>
              <w:t xml:space="preserve">Kept, for every rail</w:t>
            </w:r>
          </w:p>
        </w:tc>
      </w:tr>
      <w:tr>
        <w:trPr>
          <w:cantSplit w:val="false"/>
        </w:trPr>
        <w:tc>
          <w:tcPr>
            <w:tcW w:type="dxa" w:w="1700"/>
            <w:tcMar>
              <w:top w:type="dxa" w:w="50"/>
              <w:left w:type="dxa" w:w="80"/>
              <w:bottom w:type="dxa" w:w="50"/>
              <w:right w:type="dxa" w:w="80"/>
            </w:tcMar>
          </w:tcPr>
          <w:p>
            <w:pPr>
              <w:spacing w:after="0" w:line="230"/>
            </w:pPr>
            <w:r>
              <w:rPr>
                <w:rFonts w:ascii="Arial" w:cs="Arial" w:eastAsia="Arial" w:hAnsi="Arial"/>
                <w:sz w:val="18"/>
                <w:szCs w:val="18"/>
              </w:rPr>
              <w:t xml:space="preserve">Cadence</w:t>
            </w:r>
          </w:p>
        </w:tc>
        <w:tc>
          <w:tcPr>
            <w:tcW w:type="dxa" w:w="3300"/>
            <w:tcMar>
              <w:top w:type="dxa" w:w="50"/>
              <w:left w:type="dxa" w:w="80"/>
              <w:bottom w:type="dxa" w:w="50"/>
              <w:right w:type="dxa" w:w="80"/>
            </w:tcMar>
          </w:tcPr>
          <w:p>
            <w:pPr>
              <w:spacing w:after="0" w:line="230"/>
            </w:pPr>
            <w:r>
              <w:rPr>
                <w:rFonts w:ascii="Arial" w:cs="Arial" w:eastAsia="Arial" w:hAnsi="Arial"/>
                <w:sz w:val="18"/>
                <w:szCs w:val="18"/>
              </w:rPr>
              <w:t xml:space="preserve">The periodic package was aligned to one jurisdiction’s semi-annual reporting dates</w:t>
            </w:r>
          </w:p>
        </w:tc>
        <w:tc>
          <w:tcPr>
            <w:tcW w:type="dxa" w:w="4746"/>
            <w:tcMar>
              <w:top w:type="dxa" w:w="50"/>
              <w:left w:type="dxa" w:w="80"/>
              <w:bottom w:type="dxa" w:w="50"/>
              <w:right w:type="dxa" w:w="80"/>
            </w:tcMar>
          </w:tcPr>
          <w:p>
            <w:pPr>
              <w:spacing w:after="0" w:line="230"/>
            </w:pPr>
            <w:r>
              <w:rPr>
                <w:rFonts w:ascii="Arial" w:cs="Arial" w:eastAsia="Arial" w:hAnsi="Arial"/>
                <w:sz w:val="18"/>
                <w:szCs w:val="18"/>
              </w:rPr>
              <w:t xml:space="preserve">Cadence is set by each profile</w:t>
            </w:r>
          </w:p>
        </w:tc>
      </w:tr>
    </w:tbl>
    <w:p>
      <w:pPr>
        <w:spacing w:before="300"/>
      </w:pPr>
      <w:r>
        <w:rPr>
          <w:rFonts w:ascii="Arial" w:cs="Arial" w:eastAsia="Arial" w:hAnsi="Arial"/>
          <w:i/>
          <w:iCs/>
          <w:color w:val="595959"/>
          <w:sz w:val="18"/>
          <w:szCs w:val="18"/>
        </w:rPr>
        <w:t xml:space="preserve">End of draft. Corrections to any profile are especially welcome: the Standard is only as good as the authorities’ reading of it.</w:t>
      </w:r>
    </w:p>
    <w:sectPr>
      <w:headerReference w:type="default" r:id="rId11"/>
      <w:footerReference w:type="default" r:id="rId12"/>
      <w:pgSz w:w="11906" w:h="16838" w:orient="portrait"/>
      <w:pgMar w:top="1000" w:right="1080" w:bottom="10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08080"/>
        <w:sz w:val="15"/>
        <w:szCs w:val="15"/>
      </w:rPr>
      <w:t xml:space="preserve">CTRES v1.0 — open draft — ctres.org — page </w:t>
    </w:r>
    <w:r>
      <w:rPr>
        <w:rFonts w:ascii="Arial" w:cs="Arial" w:eastAsia="Arial" w:hAnsi="Arial"/>
        <w:color w:val="808080"/>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08080"/>
        <w:sz w:val="15"/>
        <w:szCs w:val="15"/>
      </w:rPr>
      <w:t xml:space="preserve">CTRES v1.0 — open draft — ctres.org — page </w:t>
    </w:r>
    <w:r>
      <w:rPr>
        <w:rFonts w:ascii="Arial" w:cs="Arial" w:eastAsia="Arial" w:hAnsi="Arial"/>
        <w:color w:val="808080"/>
        <w:sz w:val="15"/>
        <w:szCs w:val="15"/>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08080"/>
        <w:sz w:val="15"/>
        <w:szCs w:val="15"/>
      </w:rPr>
      <w:t xml:space="preserve">CTRES v1.0 — open draft — ctres.org — page </w:t>
    </w:r>
    <w:r>
      <w:rPr>
        <w:rFonts w:ascii="Arial" w:cs="Arial" w:eastAsia="Arial" w:hAnsi="Arial"/>
        <w:color w:val="8080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3619500">
          <wp:simplePos x="0" y="0"/>
          <wp:positionH relativeFrom="page">
            <wp:posOffset>1111250</wp:posOffset>
          </wp:positionH>
          <wp:positionV relativeFrom="page">
            <wp:posOffset>3536950</wp:posOffset>
          </wp:positionV>
          <wp:extent cx="5334000" cy="36195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334000" cy="3619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4914900">
          <wp:simplePos x="0" y="0"/>
          <wp:positionH relativeFrom="page">
            <wp:posOffset>1727200</wp:posOffset>
          </wp:positionH>
          <wp:positionV relativeFrom="page">
            <wp:posOffset>1320800</wp:posOffset>
          </wp:positionV>
          <wp:extent cx="7239000" cy="49149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0" cy="4914900"/>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3619500">
          <wp:simplePos x="0" y="0"/>
          <wp:positionH relativeFrom="page">
            <wp:posOffset>1111250</wp:posOffset>
          </wp:positionH>
          <wp:positionV relativeFrom="page">
            <wp:posOffset>3536950</wp:posOffset>
          </wp:positionV>
          <wp:extent cx="5334000" cy="36195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334000" cy="36195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29ef9e7eb39a7547f269b96cc1c7a86b1894084.png"/></Relationships>
</file>

<file path=word/_rels/header2.xml.rels><?xml version="1.0" encoding="UTF-8"?><Relationships xmlns="http://schemas.openxmlformats.org/package/2006/relationships"><Relationship Id="rId0" Type="http://schemas.openxmlformats.org/officeDocument/2006/relationships/image" Target="media/529ef9e7eb39a7547f269b96cc1c7a86b1894084.png"/></Relationships>
</file>

<file path=word/_rels/header3.xml.rels><?xml version="1.0" encoding="UTF-8"?><Relationships xmlns="http://schemas.openxmlformats.org/package/2006/relationships"><Relationship Id="rId0" Type="http://schemas.openxmlformats.org/officeDocument/2006/relationships/image" Target="media/529ef9e7eb39a7547f269b96cc1c7a86b189408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Transaction Reporting and Evidence Standard (CTRES) v1.0</dc:title>
  <dc:subject>Open, rail-neutral format for evidencing payment flows in regulated gambling</dc:subject>
  <dc:creator>CTRES</dc:creator>
  <cp:keywords>CTRES; gambling regulation; payments; AML; evidence; standard</cp:keywords>
  <dc:description>Open draft for consultation. https://ctres.org · hello@ctres.org</dc:description>
  <cp:lastModifiedBy>CTRES</cp:lastModifiedBy>
  <cp:revision>1</cp:revision>
  <dcterms:created xsi:type="dcterms:W3CDTF">2026-10-05T20:19:30.123Z</dcterms:created>
  <dcterms:modified xsi:type="dcterms:W3CDTF">2026-10-05T20:19:30.124Z</dcterms:modified>
</cp:coreProperties>
</file>

<file path=docProps/custom.xml><?xml version="1.0" encoding="utf-8"?>
<Properties xmlns="http://schemas.openxmlformats.org/officeDocument/2006/custom-properties" xmlns:vt="http://schemas.openxmlformats.org/officeDocument/2006/docPropsVTypes"/>
</file>